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5015454" wp14:paraId="3690AAD9" wp14:textId="0352B18C">
      <w:pPr>
        <w:spacing w:after="0" w:afterAutospacing="on"/>
        <w:rPr>
          <w:rFonts w:ascii="Times New Roman" w:hAnsi="Times New Roman" w:eastAsia="Times New Roman" w:cs="Times New Roman"/>
          <w:b w:val="1"/>
          <w:bCs w:val="1"/>
          <w:sz w:val="32"/>
          <w:szCs w:val="32"/>
        </w:rPr>
      </w:pPr>
      <w:r w:rsidRPr="55015454" w:rsidR="3BB2521E">
        <w:rPr>
          <w:rFonts w:ascii="Times New Roman" w:hAnsi="Times New Roman" w:eastAsia="Times New Roman" w:cs="Times New Roman"/>
          <w:b w:val="1"/>
          <w:bCs w:val="1"/>
          <w:sz w:val="32"/>
          <w:szCs w:val="32"/>
        </w:rPr>
        <w:t xml:space="preserve">2024 Legislation Results </w:t>
      </w:r>
    </w:p>
    <w:tbl>
      <w:tblPr>
        <w:tblStyle w:val="TableGrid"/>
        <w:tblW w:w="9473" w:type="dxa"/>
        <w:jc w:val="center"/>
        <w:tblLayout w:type="fixed"/>
        <w:tblLook w:val="06A0" w:firstRow="1" w:lastRow="0" w:firstColumn="1" w:lastColumn="0" w:noHBand="1" w:noVBand="1"/>
      </w:tblPr>
      <w:tblGrid>
        <w:gridCol w:w="1275"/>
        <w:gridCol w:w="1560"/>
        <w:gridCol w:w="6638"/>
      </w:tblGrid>
      <w:tr w:rsidR="57F337FD" w:rsidTr="55015454" w14:paraId="22188E2F">
        <w:trPr>
          <w:trHeight w:val="300"/>
        </w:trPr>
        <w:tc>
          <w:tcPr>
            <w:tcW w:w="1275" w:type="dxa"/>
            <w:tcMar/>
          </w:tcPr>
          <w:p w:rsidR="18EC60D2" w:rsidP="55015454" w:rsidRDefault="18EC60D2" w14:paraId="40106F1D" w14:textId="06624461">
            <w:pPr>
              <w:pStyle w:val="Normal"/>
              <w:spacing w:after="0" w:afterAutospacing="on"/>
              <w:jc w:val="center"/>
              <w:rPr>
                <w:rFonts w:ascii="Times New Roman" w:hAnsi="Times New Roman" w:eastAsia="Times New Roman" w:cs="Times New Roman"/>
              </w:rPr>
            </w:pPr>
            <w:r w:rsidRPr="55015454" w:rsidR="75A0F88F">
              <w:rPr>
                <w:rFonts w:ascii="Times New Roman" w:hAnsi="Times New Roman" w:eastAsia="Times New Roman" w:cs="Times New Roman"/>
              </w:rPr>
              <w:t>Measure</w:t>
            </w:r>
          </w:p>
        </w:tc>
        <w:tc>
          <w:tcPr>
            <w:tcW w:w="1560" w:type="dxa"/>
            <w:tcMar/>
          </w:tcPr>
          <w:p w:rsidR="3BB2521E" w:rsidP="55015454" w:rsidRDefault="3BB2521E" w14:paraId="4D06A076" w14:textId="43FB7242">
            <w:pPr>
              <w:pStyle w:val="Normal"/>
              <w:spacing w:after="0" w:afterAutospacing="on"/>
              <w:jc w:val="center"/>
              <w:rPr>
                <w:rFonts w:ascii="Times New Roman" w:hAnsi="Times New Roman" w:eastAsia="Times New Roman" w:cs="Times New Roman"/>
              </w:rPr>
            </w:pPr>
            <w:r w:rsidRPr="55015454" w:rsidR="3BB2521E">
              <w:rPr>
                <w:rFonts w:ascii="Times New Roman" w:hAnsi="Times New Roman" w:eastAsia="Times New Roman" w:cs="Times New Roman"/>
              </w:rPr>
              <w:t>Law #</w:t>
            </w:r>
          </w:p>
        </w:tc>
        <w:tc>
          <w:tcPr>
            <w:tcW w:w="6638" w:type="dxa"/>
            <w:tcMar/>
          </w:tcPr>
          <w:p w:rsidR="08C3F2F8" w:rsidP="55015454" w:rsidRDefault="08C3F2F8" w14:paraId="5F22E92E" w14:textId="7846B73D">
            <w:pPr>
              <w:pStyle w:val="Normal"/>
              <w:spacing w:after="0" w:afterAutospacing="on"/>
              <w:jc w:val="center"/>
              <w:rPr>
                <w:rFonts w:ascii="Times New Roman" w:hAnsi="Times New Roman" w:eastAsia="Times New Roman" w:cs="Times New Roman"/>
              </w:rPr>
            </w:pPr>
            <w:r w:rsidRPr="55015454" w:rsidR="08C3F2F8">
              <w:rPr>
                <w:rFonts w:ascii="Times New Roman" w:hAnsi="Times New Roman" w:eastAsia="Times New Roman" w:cs="Times New Roman"/>
              </w:rPr>
              <w:t>Description</w:t>
            </w:r>
          </w:p>
        </w:tc>
      </w:tr>
    </w:tbl>
    <w:p xmlns:wp14="http://schemas.microsoft.com/office/word/2010/wordml" w:rsidP="55015454" wp14:paraId="7214D7D2" wp14:textId="39870B62">
      <w:pPr>
        <w:pStyle w:val="Normal"/>
        <w:spacing w:after="0" w:afterAutospacing="on"/>
        <w:rPr>
          <w:rFonts w:ascii="Times New Roman" w:hAnsi="Times New Roman" w:eastAsia="Times New Roman" w:cs="Times New Roman"/>
          <w:b w:val="1"/>
          <w:bCs w:val="1"/>
          <w:sz w:val="28"/>
          <w:szCs w:val="28"/>
        </w:rPr>
      </w:pPr>
      <w:r w:rsidRPr="55015454" w:rsidR="08C3F2F8">
        <w:rPr>
          <w:rFonts w:ascii="Times New Roman" w:hAnsi="Times New Roman" w:eastAsia="Times New Roman" w:cs="Times New Roman"/>
          <w:b w:val="1"/>
          <w:bCs w:val="1"/>
          <w:sz w:val="28"/>
          <w:szCs w:val="28"/>
        </w:rPr>
        <w:t xml:space="preserve">Environment </w:t>
      </w:r>
    </w:p>
    <w:tbl>
      <w:tblPr>
        <w:tblStyle w:val="TableGrid"/>
        <w:tblW w:w="9473" w:type="dxa"/>
        <w:tblLayout w:type="fixed"/>
        <w:tblLook w:val="06A0" w:firstRow="1" w:lastRow="0" w:firstColumn="1" w:lastColumn="0" w:noHBand="1" w:noVBand="1"/>
      </w:tblPr>
      <w:tblGrid>
        <w:gridCol w:w="1260"/>
        <w:gridCol w:w="1605"/>
        <w:gridCol w:w="6608"/>
      </w:tblGrid>
      <w:tr w:rsidR="57F337FD" w:rsidTr="55015454" w14:paraId="7E11F777">
        <w:trPr>
          <w:trHeight w:val="300"/>
        </w:trPr>
        <w:tc>
          <w:tcPr>
            <w:tcW w:w="1260" w:type="dxa"/>
            <w:tcMar/>
          </w:tcPr>
          <w:p w:rsidR="0BB079F7" w:rsidP="55015454" w:rsidRDefault="0BB079F7" w14:paraId="1376C06B" w14:textId="391B703B">
            <w:pPr>
              <w:pStyle w:val="Normal"/>
              <w:spacing w:after="0" w:afterAutospacing="on"/>
              <w:rPr>
                <w:rFonts w:ascii="Times New Roman" w:hAnsi="Times New Roman" w:eastAsia="Times New Roman" w:cs="Times New Roman"/>
              </w:rPr>
            </w:pPr>
            <w:r w:rsidRPr="55015454" w:rsidR="2D8BF3A8">
              <w:rPr>
                <w:rFonts w:ascii="Times New Roman" w:hAnsi="Times New Roman" w:eastAsia="Times New Roman" w:cs="Times New Roman"/>
              </w:rPr>
              <w:t>SB</w:t>
            </w:r>
            <w:r w:rsidRPr="55015454" w:rsidR="23F212F2">
              <w:rPr>
                <w:rFonts w:ascii="Times New Roman" w:hAnsi="Times New Roman" w:eastAsia="Times New Roman" w:cs="Times New Roman"/>
              </w:rPr>
              <w:t xml:space="preserve"> </w:t>
            </w:r>
            <w:r w:rsidRPr="55015454" w:rsidR="2D8BF3A8">
              <w:rPr>
                <w:rFonts w:ascii="Times New Roman" w:hAnsi="Times New Roman" w:eastAsia="Times New Roman" w:cs="Times New Roman"/>
              </w:rPr>
              <w:t>1280</w:t>
            </w:r>
          </w:p>
        </w:tc>
        <w:tc>
          <w:tcPr>
            <w:tcW w:w="1605" w:type="dxa"/>
            <w:tcMar/>
          </w:tcPr>
          <w:p w:rsidR="0BB079F7" w:rsidP="55015454" w:rsidRDefault="0BB079F7" w14:paraId="4AA91871" w14:textId="4EE392A7">
            <w:pPr>
              <w:pStyle w:val="Normal"/>
              <w:spacing w:after="0" w:afterAutospacing="on"/>
              <w:rPr>
                <w:rFonts w:ascii="Times New Roman" w:hAnsi="Times New Roman" w:eastAsia="Times New Roman" w:cs="Times New Roman"/>
              </w:rPr>
            </w:pPr>
            <w:r w:rsidRPr="55015454" w:rsidR="2D8BF3A8">
              <w:rPr>
                <w:rFonts w:ascii="Times New Roman" w:hAnsi="Times New Roman" w:eastAsia="Times New Roman" w:cs="Times New Roman"/>
              </w:rPr>
              <w:t>Chapter 466</w:t>
            </w:r>
          </w:p>
        </w:tc>
        <w:tc>
          <w:tcPr>
            <w:tcW w:w="6608" w:type="dxa"/>
            <w:tcMar/>
          </w:tcPr>
          <w:p w:rsidR="707D11BF" w:rsidP="55015454" w:rsidRDefault="707D11BF" w14:paraId="7D7D37D0" w14:textId="2AB03E3D">
            <w:pPr>
              <w:pStyle w:val="Normal"/>
              <w:spacing w:after="0" w:afterAutospacing="on"/>
              <w:rPr>
                <w:rFonts w:ascii="Times New Roman" w:hAnsi="Times New Roman" w:eastAsia="Times New Roman" w:cs="Times New Roman"/>
              </w:rPr>
            </w:pPr>
            <w:r w:rsidRPr="55015454" w:rsidR="50CE4D02">
              <w:rPr>
                <w:rFonts w:ascii="Times New Roman" w:hAnsi="Times New Roman" w:eastAsia="Times New Roman" w:cs="Times New Roman"/>
              </w:rPr>
              <w:t>Effective</w:t>
            </w:r>
            <w:r w:rsidRPr="55015454" w:rsidR="4B894CD1">
              <w:rPr>
                <w:rFonts w:ascii="Times New Roman" w:hAnsi="Times New Roman" w:eastAsia="Times New Roman" w:cs="Times New Roman"/>
              </w:rPr>
              <w:t xml:space="preserve"> January 1, 2028, this law p</w:t>
            </w:r>
            <w:r w:rsidRPr="55015454" w:rsidR="00D414BA">
              <w:rPr>
                <w:rFonts w:ascii="Times New Roman" w:hAnsi="Times New Roman" w:eastAsia="Times New Roman" w:cs="Times New Roman"/>
              </w:rPr>
              <w:t xml:space="preserve">rohibits the sale of non-reusable or refillable propane cylinders. </w:t>
            </w:r>
          </w:p>
        </w:tc>
      </w:tr>
      <w:tr w:rsidR="57F337FD" w:rsidTr="55015454" w14:paraId="696A7076">
        <w:trPr>
          <w:trHeight w:val="300"/>
        </w:trPr>
        <w:tc>
          <w:tcPr>
            <w:tcW w:w="1260" w:type="dxa"/>
            <w:tcMar/>
          </w:tcPr>
          <w:p w:rsidR="57F337FD" w:rsidP="55015454" w:rsidRDefault="57F337FD" w14:paraId="78C6BCF1" w14:textId="6111F840">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AB 1864</w:t>
            </w:r>
          </w:p>
          <w:p w:rsidR="57F337FD" w:rsidP="55015454" w:rsidRDefault="57F337FD" w14:paraId="6BE45999" w14:textId="49D146C5">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p>
          <w:p w:rsidR="57F337FD" w:rsidP="55015454" w:rsidRDefault="57F337FD" w14:paraId="44ED82D5" w14:textId="77F0762D">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p>
        </w:tc>
        <w:tc>
          <w:tcPr>
            <w:tcW w:w="1605" w:type="dxa"/>
            <w:tcMar/>
          </w:tcPr>
          <w:p w:rsidR="57F337FD" w:rsidP="55015454" w:rsidRDefault="57F337FD" w14:paraId="7AD60661" w14:textId="56140705">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552</w:t>
            </w:r>
          </w:p>
        </w:tc>
        <w:tc>
          <w:tcPr>
            <w:tcW w:w="6608" w:type="dxa"/>
            <w:tcMar/>
          </w:tcPr>
          <w:p w:rsidR="180DD3C0" w:rsidP="55015454" w:rsidRDefault="180DD3C0" w14:paraId="01E76FEC" w14:textId="1AE03CC6">
            <w:pPr>
              <w:pStyle w:val="Normal"/>
              <w:spacing w:after="0" w:afterAutospacing="on"/>
              <w:rPr>
                <w:rFonts w:ascii="Times New Roman" w:hAnsi="Times New Roman" w:eastAsia="Times New Roman" w:cs="Times New Roman"/>
              </w:rPr>
            </w:pPr>
            <w:r w:rsidRPr="55015454" w:rsidR="580062F2">
              <w:rPr>
                <w:rFonts w:ascii="Times New Roman" w:hAnsi="Times New Roman" w:eastAsia="Times New Roman" w:cs="Times New Roman"/>
              </w:rPr>
              <w:t>Effective December 31, 2026, this law r</w:t>
            </w:r>
            <w:r w:rsidRPr="55015454" w:rsidR="4E50F1F1">
              <w:rPr>
                <w:rFonts w:ascii="Times New Roman" w:hAnsi="Times New Roman" w:eastAsia="Times New Roman" w:cs="Times New Roman"/>
              </w:rPr>
              <w:t xml:space="preserve">equires the Department of Pesticide Regulation to require separate site identification numbers for portions of agricultural fields within ¼ mile of a school. Additionally, applications for permits for the use of pesticides </w:t>
            </w:r>
            <w:r w:rsidRPr="55015454" w:rsidR="4E50F1F1">
              <w:rPr>
                <w:rFonts w:ascii="Times New Roman" w:hAnsi="Times New Roman" w:eastAsia="Times New Roman" w:cs="Times New Roman"/>
              </w:rPr>
              <w:t>designated</w:t>
            </w:r>
            <w:r w:rsidRPr="55015454" w:rsidR="4E50F1F1">
              <w:rPr>
                <w:rFonts w:ascii="Times New Roman" w:hAnsi="Times New Roman" w:eastAsia="Times New Roman" w:cs="Times New Roman"/>
              </w:rPr>
              <w:t xml:space="preserve"> as restricted materials are </w:t>
            </w:r>
            <w:r w:rsidRPr="55015454" w:rsidR="4E50F1F1">
              <w:rPr>
                <w:rFonts w:ascii="Times New Roman" w:hAnsi="Times New Roman" w:eastAsia="Times New Roman" w:cs="Times New Roman"/>
              </w:rPr>
              <w:t>required</w:t>
            </w:r>
            <w:r w:rsidRPr="55015454" w:rsidR="4E50F1F1">
              <w:rPr>
                <w:rFonts w:ascii="Times New Roman" w:hAnsi="Times New Roman" w:eastAsia="Times New Roman" w:cs="Times New Roman"/>
              </w:rPr>
              <w:t xml:space="preserve"> to include the specific or </w:t>
            </w:r>
            <w:r w:rsidRPr="55015454" w:rsidR="4E50F1F1">
              <w:rPr>
                <w:rFonts w:ascii="Times New Roman" w:hAnsi="Times New Roman" w:eastAsia="Times New Roman" w:cs="Times New Roman"/>
              </w:rPr>
              <w:t>anticipated</w:t>
            </w:r>
            <w:r w:rsidRPr="55015454" w:rsidR="4E50F1F1">
              <w:rPr>
                <w:rFonts w:ascii="Times New Roman" w:hAnsi="Times New Roman" w:eastAsia="Times New Roman" w:cs="Times New Roman"/>
              </w:rPr>
              <w:t xml:space="preserve"> pesticide application method and information on the dates and times of pesticide application when used within 1/4 mile of a school site.</w:t>
            </w:r>
          </w:p>
        </w:tc>
      </w:tr>
      <w:tr w:rsidR="57F337FD" w:rsidTr="55015454" w14:paraId="1F947712">
        <w:trPr>
          <w:trHeight w:val="300"/>
        </w:trPr>
        <w:tc>
          <w:tcPr>
            <w:tcW w:w="1260" w:type="dxa"/>
            <w:tcMar/>
          </w:tcPr>
          <w:p w:rsidR="57F337FD" w:rsidP="55015454" w:rsidRDefault="57F337FD" w14:paraId="70B8145D" w14:textId="372ADBA2">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AB 1866</w:t>
            </w:r>
          </w:p>
        </w:tc>
        <w:tc>
          <w:tcPr>
            <w:tcW w:w="1605" w:type="dxa"/>
            <w:tcMar/>
          </w:tcPr>
          <w:p w:rsidR="57F337FD" w:rsidP="55015454" w:rsidRDefault="57F337FD" w14:paraId="281C4A91" w14:textId="732238F0">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548</w:t>
            </w:r>
          </w:p>
        </w:tc>
        <w:tc>
          <w:tcPr>
            <w:tcW w:w="6608" w:type="dxa"/>
            <w:tcMar/>
          </w:tcPr>
          <w:p w:rsidR="4ABA37E5" w:rsidP="55015454" w:rsidRDefault="4ABA37E5" w14:paraId="3F26FD2B" w14:textId="3229981D">
            <w:pPr>
              <w:pStyle w:val="Normal"/>
              <w:spacing w:after="0" w:afterAutospacing="on"/>
              <w:rPr>
                <w:rFonts w:ascii="Times New Roman" w:hAnsi="Times New Roman" w:eastAsia="Times New Roman" w:cs="Times New Roman"/>
              </w:rPr>
            </w:pPr>
            <w:bookmarkStart w:name="_Int_sRzlDLrO" w:id="2076939646"/>
            <w:r w:rsidRPr="55015454" w:rsidR="6032F25B">
              <w:rPr>
                <w:rFonts w:ascii="Times New Roman" w:hAnsi="Times New Roman" w:eastAsia="Times New Roman" w:cs="Times New Roman"/>
              </w:rPr>
              <w:t>Increases</w:t>
            </w:r>
            <w:bookmarkEnd w:id="2076939646"/>
            <w:r w:rsidRPr="55015454" w:rsidR="6032F25B">
              <w:rPr>
                <w:rFonts w:ascii="Times New Roman" w:hAnsi="Times New Roman" w:eastAsia="Times New Roman" w:cs="Times New Roman"/>
              </w:rPr>
              <w:t xml:space="preserve"> the fees for idle oil wells</w:t>
            </w:r>
            <w:r w:rsidRPr="55015454" w:rsidR="50C29DD5">
              <w:rPr>
                <w:rFonts w:ascii="Times New Roman" w:hAnsi="Times New Roman" w:eastAsia="Times New Roman" w:cs="Times New Roman"/>
              </w:rPr>
              <w:t xml:space="preserve"> and </w:t>
            </w:r>
            <w:r w:rsidRPr="55015454" w:rsidR="618A241F">
              <w:rPr>
                <w:rFonts w:ascii="Times New Roman" w:hAnsi="Times New Roman" w:eastAsia="Times New Roman" w:cs="Times New Roman"/>
              </w:rPr>
              <w:t>impose</w:t>
            </w:r>
            <w:r w:rsidRPr="55015454" w:rsidR="20679AC0">
              <w:rPr>
                <w:rFonts w:ascii="Times New Roman" w:hAnsi="Times New Roman" w:eastAsia="Times New Roman" w:cs="Times New Roman"/>
              </w:rPr>
              <w:t>s</w:t>
            </w:r>
            <w:r w:rsidRPr="55015454" w:rsidR="618A241F">
              <w:rPr>
                <w:rFonts w:ascii="Times New Roman" w:hAnsi="Times New Roman" w:eastAsia="Times New Roman" w:cs="Times New Roman"/>
              </w:rPr>
              <w:t xml:space="preserve"> </w:t>
            </w:r>
            <w:r w:rsidRPr="55015454" w:rsidR="618A241F">
              <w:rPr>
                <w:rFonts w:ascii="Times New Roman" w:hAnsi="Times New Roman" w:eastAsia="Times New Roman" w:cs="Times New Roman"/>
              </w:rPr>
              <w:t>additional</w:t>
            </w:r>
            <w:r w:rsidRPr="55015454" w:rsidR="618A241F">
              <w:rPr>
                <w:rFonts w:ascii="Times New Roman" w:hAnsi="Times New Roman" w:eastAsia="Times New Roman" w:cs="Times New Roman"/>
              </w:rPr>
              <w:t xml:space="preserve"> fees for wells that have been idle for less than three years</w:t>
            </w:r>
            <w:r w:rsidRPr="55015454" w:rsidR="69C9CB55">
              <w:rPr>
                <w:rFonts w:ascii="Times New Roman" w:hAnsi="Times New Roman" w:eastAsia="Times New Roman" w:cs="Times New Roman"/>
              </w:rPr>
              <w:t>. Operators who do not file the idle well fees must file a plan with the State Oil and Gas S</w:t>
            </w:r>
            <w:r w:rsidRPr="55015454" w:rsidR="05E91519">
              <w:rPr>
                <w:rFonts w:ascii="Times New Roman" w:hAnsi="Times New Roman" w:eastAsia="Times New Roman" w:cs="Times New Roman"/>
              </w:rPr>
              <w:t xml:space="preserve">upervision to provide </w:t>
            </w:r>
            <w:r w:rsidRPr="55015454" w:rsidR="05E91519">
              <w:rPr>
                <w:rFonts w:ascii="Times New Roman" w:hAnsi="Times New Roman" w:eastAsia="Times New Roman" w:cs="Times New Roman"/>
              </w:rPr>
              <w:t>management</w:t>
            </w:r>
            <w:r w:rsidRPr="55015454" w:rsidR="05E91519">
              <w:rPr>
                <w:rFonts w:ascii="Times New Roman" w:hAnsi="Times New Roman" w:eastAsia="Times New Roman" w:cs="Times New Roman"/>
              </w:rPr>
              <w:t xml:space="preserve"> and elimination of all idle wells by May 1</w:t>
            </w:r>
            <w:r w:rsidRPr="55015454" w:rsidR="05E91519">
              <w:rPr>
                <w:rFonts w:ascii="Times New Roman" w:hAnsi="Times New Roman" w:eastAsia="Times New Roman" w:cs="Times New Roman"/>
                <w:vertAlign w:val="superscript"/>
              </w:rPr>
              <w:t>st</w:t>
            </w:r>
            <w:r w:rsidRPr="55015454" w:rsidR="05E91519">
              <w:rPr>
                <w:rFonts w:ascii="Times New Roman" w:hAnsi="Times New Roman" w:eastAsia="Times New Roman" w:cs="Times New Roman"/>
              </w:rPr>
              <w:t xml:space="preserve"> of each year</w:t>
            </w:r>
            <w:r w:rsidRPr="55015454" w:rsidR="05E91519">
              <w:rPr>
                <w:rFonts w:ascii="Times New Roman" w:hAnsi="Times New Roman" w:eastAsia="Times New Roman" w:cs="Times New Roman"/>
              </w:rPr>
              <w:t xml:space="preserve">. </w:t>
            </w:r>
            <w:r w:rsidRPr="55015454" w:rsidR="4B117E0C">
              <w:rPr>
                <w:rFonts w:ascii="Times New Roman" w:hAnsi="Times New Roman" w:eastAsia="Times New Roman" w:cs="Times New Roman"/>
              </w:rPr>
              <w:t xml:space="preserve"> </w:t>
            </w:r>
          </w:p>
        </w:tc>
      </w:tr>
      <w:tr w:rsidR="57F337FD" w:rsidTr="55015454" w14:paraId="2E03C0B2">
        <w:trPr>
          <w:trHeight w:val="300"/>
        </w:trPr>
        <w:tc>
          <w:tcPr>
            <w:tcW w:w="1260" w:type="dxa"/>
            <w:tcMar/>
          </w:tcPr>
          <w:p w:rsidR="57F337FD" w:rsidP="55015454" w:rsidRDefault="57F337FD" w14:paraId="592A1E3A" w14:textId="1AF025A3">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SB 1101</w:t>
            </w:r>
          </w:p>
        </w:tc>
        <w:tc>
          <w:tcPr>
            <w:tcW w:w="1605" w:type="dxa"/>
            <w:tcMar/>
          </w:tcPr>
          <w:p w:rsidR="57F337FD" w:rsidP="55015454" w:rsidRDefault="57F337FD" w14:paraId="522C6D53" w14:textId="360F70C8">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778</w:t>
            </w:r>
          </w:p>
        </w:tc>
        <w:tc>
          <w:tcPr>
            <w:tcW w:w="6608" w:type="dxa"/>
            <w:tcMar/>
          </w:tcPr>
          <w:p w:rsidR="3CF414B6" w:rsidP="55015454" w:rsidRDefault="3CF414B6" w14:paraId="7A26FCD2" w14:textId="14B700BC">
            <w:pPr>
              <w:pStyle w:val="Normal"/>
              <w:spacing w:after="0" w:afterAutospacing="on"/>
              <w:rPr>
                <w:rFonts w:ascii="Times New Roman" w:hAnsi="Times New Roman" w:eastAsia="Times New Roman" w:cs="Times New Roman"/>
              </w:rPr>
            </w:pPr>
            <w:r w:rsidRPr="55015454" w:rsidR="56D53B42">
              <w:rPr>
                <w:rFonts w:ascii="Times New Roman" w:hAnsi="Times New Roman" w:eastAsia="Times New Roman" w:cs="Times New Roman"/>
              </w:rPr>
              <w:t>Effective January 1, 2026, this law r</w:t>
            </w:r>
            <w:r w:rsidRPr="55015454" w:rsidR="2F3325D9">
              <w:rPr>
                <w:rFonts w:ascii="Times New Roman" w:hAnsi="Times New Roman" w:eastAsia="Times New Roman" w:cs="Times New Roman"/>
              </w:rPr>
              <w:t xml:space="preserve">equires the Department of Forestry and Fire Protection to </w:t>
            </w:r>
            <w:r w:rsidRPr="55015454" w:rsidR="2F3325D9">
              <w:rPr>
                <w:rFonts w:ascii="Times New Roman" w:hAnsi="Times New Roman" w:eastAsia="Times New Roman" w:cs="Times New Roman"/>
              </w:rPr>
              <w:t>i</w:t>
            </w:r>
            <w:r w:rsidRPr="55015454" w:rsidR="2F3325D9">
              <w:rPr>
                <w:rFonts w:ascii="Times New Roman" w:hAnsi="Times New Roman" w:eastAsia="Times New Roman" w:cs="Times New Roman"/>
              </w:rPr>
              <w:t>dentify</w:t>
            </w:r>
            <w:r w:rsidRPr="55015454" w:rsidR="2F3325D9">
              <w:rPr>
                <w:rFonts w:ascii="Times New Roman" w:hAnsi="Times New Roman" w:eastAsia="Times New Roman" w:cs="Times New Roman"/>
              </w:rPr>
              <w:t xml:space="preserve"> </w:t>
            </w:r>
            <w:r w:rsidRPr="55015454" w:rsidR="2F3325D9">
              <w:rPr>
                <w:rFonts w:ascii="Times New Roman" w:hAnsi="Times New Roman" w:eastAsia="Times New Roman" w:cs="Times New Roman"/>
              </w:rPr>
              <w:t xml:space="preserve">and map potential delineations that can be </w:t>
            </w:r>
            <w:r w:rsidRPr="55015454" w:rsidR="2F3325D9">
              <w:rPr>
                <w:rFonts w:ascii="Times New Roman" w:hAnsi="Times New Roman" w:eastAsia="Times New Roman" w:cs="Times New Roman"/>
              </w:rPr>
              <w:t>u</w:t>
            </w:r>
            <w:r w:rsidRPr="55015454" w:rsidR="2F3325D9">
              <w:rPr>
                <w:rFonts w:ascii="Times New Roman" w:hAnsi="Times New Roman" w:eastAsia="Times New Roman" w:cs="Times New Roman"/>
              </w:rPr>
              <w:t>tilized</w:t>
            </w:r>
            <w:r w:rsidRPr="55015454" w:rsidR="2F3325D9">
              <w:rPr>
                <w:rFonts w:ascii="Times New Roman" w:hAnsi="Times New Roman" w:eastAsia="Times New Roman" w:cs="Times New Roman"/>
              </w:rPr>
              <w:t xml:space="preserve"> </w:t>
            </w:r>
            <w:r w:rsidRPr="55015454" w:rsidR="2F3325D9">
              <w:rPr>
                <w:rFonts w:ascii="Times New Roman" w:hAnsi="Times New Roman" w:eastAsia="Times New Roman" w:cs="Times New Roman"/>
              </w:rPr>
              <w:t xml:space="preserve">for strategic wildfire response or prescribed fires. Requires the development of maps of the severity of wildfire </w:t>
            </w:r>
            <w:r w:rsidRPr="55015454" w:rsidR="2F3325D9">
              <w:rPr>
                <w:rFonts w:ascii="Times New Roman" w:hAnsi="Times New Roman" w:eastAsia="Times New Roman" w:cs="Times New Roman"/>
              </w:rPr>
              <w:t>i</w:t>
            </w:r>
            <w:r w:rsidRPr="55015454" w:rsidR="2F3325D9">
              <w:rPr>
                <w:rFonts w:ascii="Times New Roman" w:hAnsi="Times New Roman" w:eastAsia="Times New Roman" w:cs="Times New Roman"/>
              </w:rPr>
              <w:t>mpacts</w:t>
            </w:r>
            <w:r w:rsidRPr="55015454" w:rsidR="2F3325D9">
              <w:rPr>
                <w:rFonts w:ascii="Times New Roman" w:hAnsi="Times New Roman" w:eastAsia="Times New Roman" w:cs="Times New Roman"/>
              </w:rPr>
              <w:t xml:space="preserve"> </w:t>
            </w:r>
            <w:r w:rsidRPr="55015454" w:rsidR="2F3325D9">
              <w:rPr>
                <w:rFonts w:ascii="Times New Roman" w:hAnsi="Times New Roman" w:eastAsia="Times New Roman" w:cs="Times New Roman"/>
              </w:rPr>
              <w:t xml:space="preserve">that will be updated annually. Lastly, the department must review recent fires' effects on community safety and ecological restoration goals annually to </w:t>
            </w:r>
            <w:r w:rsidRPr="55015454" w:rsidR="2F3325D9">
              <w:rPr>
                <w:rFonts w:ascii="Times New Roman" w:hAnsi="Times New Roman" w:eastAsia="Times New Roman" w:cs="Times New Roman"/>
              </w:rPr>
              <w:t>i</w:t>
            </w:r>
            <w:r w:rsidRPr="55015454" w:rsidR="2F3325D9">
              <w:rPr>
                <w:rFonts w:ascii="Times New Roman" w:hAnsi="Times New Roman" w:eastAsia="Times New Roman" w:cs="Times New Roman"/>
              </w:rPr>
              <w:t>dentify</w:t>
            </w:r>
            <w:r w:rsidRPr="55015454" w:rsidR="2F3325D9">
              <w:rPr>
                <w:rFonts w:ascii="Times New Roman" w:hAnsi="Times New Roman" w:eastAsia="Times New Roman" w:cs="Times New Roman"/>
              </w:rPr>
              <w:t xml:space="preserve"> </w:t>
            </w:r>
            <w:r w:rsidRPr="55015454" w:rsidR="2F3325D9">
              <w:rPr>
                <w:rFonts w:ascii="Times New Roman" w:hAnsi="Times New Roman" w:eastAsia="Times New Roman" w:cs="Times New Roman"/>
              </w:rPr>
              <w:t xml:space="preserve">opportunities for future prescribed fires to further manage hazardous conditions.  </w:t>
            </w:r>
          </w:p>
        </w:tc>
      </w:tr>
      <w:tr w:rsidR="57F337FD" w:rsidTr="55015454" w14:paraId="082AA874">
        <w:trPr>
          <w:trHeight w:val="300"/>
        </w:trPr>
        <w:tc>
          <w:tcPr>
            <w:tcW w:w="1260" w:type="dxa"/>
            <w:tcMar/>
          </w:tcPr>
          <w:p w:rsidR="57F337FD" w:rsidP="55015454" w:rsidRDefault="57F337FD" w14:paraId="04E2F648" w14:textId="7CACD160">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SB 1193</w:t>
            </w:r>
          </w:p>
        </w:tc>
        <w:tc>
          <w:tcPr>
            <w:tcW w:w="1605" w:type="dxa"/>
            <w:tcMar/>
          </w:tcPr>
          <w:p w:rsidR="57F337FD" w:rsidP="55015454" w:rsidRDefault="57F337FD" w14:paraId="764942A4" w14:textId="2117227E">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460</w:t>
            </w:r>
          </w:p>
        </w:tc>
        <w:tc>
          <w:tcPr>
            <w:tcW w:w="6608" w:type="dxa"/>
            <w:tcMar/>
          </w:tcPr>
          <w:p w:rsidR="3B3A3BB2" w:rsidP="55015454" w:rsidRDefault="3B3A3BB2" w14:paraId="14B59CF0" w14:textId="72E5337B">
            <w:pPr>
              <w:pStyle w:val="Normal"/>
              <w:spacing w:after="0" w:afterAutospacing="on"/>
              <w:rPr>
                <w:rFonts w:ascii="Times New Roman" w:hAnsi="Times New Roman" w:eastAsia="Times New Roman" w:cs="Times New Roman"/>
              </w:rPr>
            </w:pPr>
            <w:r w:rsidRPr="55015454" w:rsidR="795CEBD9">
              <w:rPr>
                <w:rFonts w:ascii="Times New Roman" w:hAnsi="Times New Roman" w:eastAsia="Times New Roman" w:cs="Times New Roman"/>
              </w:rPr>
              <w:t>Effective January 1, 2031, this law p</w:t>
            </w:r>
            <w:r w:rsidRPr="55015454" w:rsidR="7186657F">
              <w:rPr>
                <w:rFonts w:ascii="Times New Roman" w:hAnsi="Times New Roman" w:eastAsia="Times New Roman" w:cs="Times New Roman"/>
              </w:rPr>
              <w:t xml:space="preserve">rohibits airport operators or aviation retail </w:t>
            </w:r>
            <w:r w:rsidRPr="55015454" w:rsidR="53CFDC16">
              <w:rPr>
                <w:rFonts w:ascii="Times New Roman" w:hAnsi="Times New Roman" w:eastAsia="Times New Roman" w:cs="Times New Roman"/>
              </w:rPr>
              <w:t>establishments</w:t>
            </w:r>
            <w:r w:rsidRPr="55015454" w:rsidR="7186657F">
              <w:rPr>
                <w:rFonts w:ascii="Times New Roman" w:hAnsi="Times New Roman" w:eastAsia="Times New Roman" w:cs="Times New Roman"/>
              </w:rPr>
              <w:t xml:space="preserve"> from selling, distributing, or providing leaded aviation gasoline to consumers</w:t>
            </w:r>
            <w:r w:rsidRPr="55015454" w:rsidR="56BD9B53">
              <w:rPr>
                <w:rFonts w:ascii="Times New Roman" w:hAnsi="Times New Roman" w:eastAsia="Times New Roman" w:cs="Times New Roman"/>
              </w:rPr>
              <w:t>.</w:t>
            </w:r>
          </w:p>
        </w:tc>
      </w:tr>
      <w:tr w:rsidR="57F337FD" w:rsidTr="55015454" w14:paraId="76D66757">
        <w:trPr>
          <w:trHeight w:val="300"/>
        </w:trPr>
        <w:tc>
          <w:tcPr>
            <w:tcW w:w="1260" w:type="dxa"/>
            <w:tcMar/>
          </w:tcPr>
          <w:p w:rsidR="57F337FD" w:rsidP="55015454" w:rsidRDefault="57F337FD" w14:paraId="477727A2" w14:textId="332F1406">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AB 660</w:t>
            </w:r>
          </w:p>
        </w:tc>
        <w:tc>
          <w:tcPr>
            <w:tcW w:w="1605" w:type="dxa"/>
            <w:tcMar/>
          </w:tcPr>
          <w:p w:rsidR="57F337FD" w:rsidP="55015454" w:rsidRDefault="57F337FD" w14:paraId="48342062" w14:textId="507AEFB7">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911</w:t>
            </w:r>
          </w:p>
        </w:tc>
        <w:tc>
          <w:tcPr>
            <w:tcW w:w="6608" w:type="dxa"/>
            <w:tcMar/>
          </w:tcPr>
          <w:p w:rsidR="1B1FFA8D" w:rsidP="55015454" w:rsidRDefault="1B1FFA8D" w14:paraId="55E26405" w14:textId="7AD03790">
            <w:pPr>
              <w:spacing w:before="0" w:beforeAutospacing="off" w:after="0" w:afterAutospacing="on"/>
              <w:rPr>
                <w:rFonts w:ascii="Times New Roman" w:hAnsi="Times New Roman" w:eastAsia="Times New Roman" w:cs="Times New Roman"/>
                <w:b w:val="0"/>
                <w:bCs w:val="0"/>
                <w:i w:val="0"/>
                <w:iCs w:val="0"/>
                <w:strike w:val="0"/>
                <w:dstrike w:val="0"/>
                <w:sz w:val="24"/>
                <w:szCs w:val="24"/>
              </w:rPr>
            </w:pPr>
            <w:r w:rsidRPr="55015454" w:rsidR="23EAC6B0">
              <w:rPr>
                <w:rFonts w:ascii="Times New Roman" w:hAnsi="Times New Roman" w:eastAsia="Times New Roman" w:cs="Times New Roman"/>
                <w:b w:val="0"/>
                <w:bCs w:val="0"/>
                <w:i w:val="0"/>
                <w:iCs w:val="0"/>
                <w:strike w:val="0"/>
                <w:dstrike w:val="0"/>
                <w:sz w:val="24"/>
                <w:szCs w:val="24"/>
              </w:rPr>
              <w:t>Effective July1, 2026, this law r</w:t>
            </w:r>
            <w:r w:rsidRPr="55015454" w:rsidR="2F394FC8">
              <w:rPr>
                <w:rFonts w:ascii="Times New Roman" w:hAnsi="Times New Roman" w:eastAsia="Times New Roman" w:cs="Times New Roman"/>
                <w:b w:val="0"/>
                <w:bCs w:val="0"/>
                <w:i w:val="0"/>
                <w:iCs w:val="0"/>
                <w:strike w:val="0"/>
                <w:dstrike w:val="0"/>
                <w:sz w:val="24"/>
                <w:szCs w:val="24"/>
              </w:rPr>
              <w:t xml:space="preserve">equires the use of uniform terms by food </w:t>
            </w:r>
            <w:r w:rsidRPr="55015454" w:rsidR="31FE80BE">
              <w:rPr>
                <w:rFonts w:ascii="Times New Roman" w:hAnsi="Times New Roman" w:eastAsia="Times New Roman" w:cs="Times New Roman"/>
                <w:b w:val="0"/>
                <w:bCs w:val="0"/>
                <w:i w:val="0"/>
                <w:iCs w:val="0"/>
                <w:strike w:val="0"/>
                <w:dstrike w:val="0"/>
                <w:sz w:val="24"/>
                <w:szCs w:val="24"/>
              </w:rPr>
              <w:t>manufacturers</w:t>
            </w:r>
            <w:r w:rsidRPr="55015454" w:rsidR="2F394FC8">
              <w:rPr>
                <w:rFonts w:ascii="Times New Roman" w:hAnsi="Times New Roman" w:eastAsia="Times New Roman" w:cs="Times New Roman"/>
                <w:b w:val="0"/>
                <w:bCs w:val="0"/>
                <w:i w:val="0"/>
                <w:iCs w:val="0"/>
                <w:strike w:val="0"/>
                <w:dstrike w:val="0"/>
                <w:sz w:val="24"/>
                <w:szCs w:val="24"/>
              </w:rPr>
              <w:t xml:space="preserve">, processors, and retailers for quality and </w:t>
            </w:r>
            <w:r w:rsidRPr="55015454" w:rsidR="3E977A41">
              <w:rPr>
                <w:rFonts w:ascii="Times New Roman" w:hAnsi="Times New Roman" w:eastAsia="Times New Roman" w:cs="Times New Roman"/>
                <w:b w:val="0"/>
                <w:bCs w:val="0"/>
                <w:i w:val="0"/>
                <w:iCs w:val="0"/>
                <w:strike w:val="0"/>
                <w:dstrike w:val="0"/>
                <w:sz w:val="24"/>
                <w:szCs w:val="24"/>
              </w:rPr>
              <w:t>safety</w:t>
            </w:r>
            <w:r w:rsidRPr="55015454" w:rsidR="2F394FC8">
              <w:rPr>
                <w:rFonts w:ascii="Times New Roman" w:hAnsi="Times New Roman" w:eastAsia="Times New Roman" w:cs="Times New Roman"/>
                <w:b w:val="0"/>
                <w:bCs w:val="0"/>
                <w:i w:val="0"/>
                <w:iCs w:val="0"/>
                <w:strike w:val="0"/>
                <w:dstrike w:val="0"/>
                <w:sz w:val="24"/>
                <w:szCs w:val="24"/>
              </w:rPr>
              <w:t xml:space="preserve"> dates on food </w:t>
            </w:r>
            <w:r w:rsidRPr="55015454" w:rsidR="14C6FA09">
              <w:rPr>
                <w:rFonts w:ascii="Times New Roman" w:hAnsi="Times New Roman" w:eastAsia="Times New Roman" w:cs="Times New Roman"/>
                <w:b w:val="0"/>
                <w:bCs w:val="0"/>
                <w:i w:val="0"/>
                <w:iCs w:val="0"/>
                <w:strike w:val="0"/>
                <w:dstrike w:val="0"/>
                <w:sz w:val="24"/>
                <w:szCs w:val="24"/>
              </w:rPr>
              <w:t xml:space="preserve">items </w:t>
            </w:r>
            <w:r w:rsidRPr="55015454" w:rsidR="7801187B">
              <w:rPr>
                <w:rFonts w:ascii="Times New Roman" w:hAnsi="Times New Roman" w:eastAsia="Times New Roman" w:cs="Times New Roman"/>
                <w:b w:val="0"/>
                <w:bCs w:val="0"/>
                <w:i w:val="0"/>
                <w:iCs w:val="0"/>
                <w:strike w:val="0"/>
                <w:dstrike w:val="0"/>
                <w:sz w:val="24"/>
                <w:szCs w:val="24"/>
              </w:rPr>
              <w:t>label</w:t>
            </w:r>
            <w:r w:rsidRPr="55015454" w:rsidR="28935B56">
              <w:rPr>
                <w:rFonts w:ascii="Times New Roman" w:hAnsi="Times New Roman" w:eastAsia="Times New Roman" w:cs="Times New Roman"/>
                <w:b w:val="0"/>
                <w:bCs w:val="0"/>
                <w:i w:val="0"/>
                <w:iCs w:val="0"/>
                <w:strike w:val="0"/>
                <w:dstrike w:val="0"/>
                <w:sz w:val="24"/>
                <w:szCs w:val="24"/>
              </w:rPr>
              <w:t>ed for human consumption</w:t>
            </w:r>
            <w:r w:rsidRPr="55015454" w:rsidR="2F394FC8">
              <w:rPr>
                <w:rFonts w:ascii="Times New Roman" w:hAnsi="Times New Roman" w:eastAsia="Times New Roman" w:cs="Times New Roman"/>
                <w:b w:val="0"/>
                <w:bCs w:val="0"/>
                <w:i w:val="0"/>
                <w:iCs w:val="0"/>
                <w:strike w:val="0"/>
                <w:dstrike w:val="0"/>
                <w:sz w:val="24"/>
                <w:szCs w:val="24"/>
              </w:rPr>
              <w:t>. Specifically prohibiting the use of the phrase “sell by</w:t>
            </w:r>
            <w:r w:rsidRPr="55015454" w:rsidR="72F6C6CC">
              <w:rPr>
                <w:rFonts w:ascii="Times New Roman" w:hAnsi="Times New Roman" w:eastAsia="Times New Roman" w:cs="Times New Roman"/>
                <w:b w:val="0"/>
                <w:bCs w:val="0"/>
                <w:i w:val="0"/>
                <w:iCs w:val="0"/>
                <w:strike w:val="0"/>
                <w:dstrike w:val="0"/>
                <w:sz w:val="24"/>
                <w:szCs w:val="24"/>
              </w:rPr>
              <w:t>” to be replaced by</w:t>
            </w:r>
            <w:r w:rsidRPr="55015454" w:rsidR="70FF9A57">
              <w:rPr>
                <w:rFonts w:ascii="Times New Roman" w:hAnsi="Times New Roman" w:eastAsia="Times New Roman" w:cs="Times New Roman"/>
                <w:b w:val="0"/>
                <w:bCs w:val="0"/>
                <w:i w:val="0"/>
                <w:iCs w:val="0"/>
                <w:strike w:val="0"/>
                <w:dstrike w:val="0"/>
                <w:sz w:val="24"/>
                <w:szCs w:val="24"/>
              </w:rPr>
              <w:t xml:space="preserve"> specified uniform terms to communicate a quality or </w:t>
            </w:r>
            <w:r w:rsidRPr="55015454" w:rsidR="1AB004D3">
              <w:rPr>
                <w:rFonts w:ascii="Times New Roman" w:hAnsi="Times New Roman" w:eastAsia="Times New Roman" w:cs="Times New Roman"/>
                <w:b w:val="0"/>
                <w:bCs w:val="0"/>
                <w:i w:val="0"/>
                <w:iCs w:val="0"/>
                <w:strike w:val="0"/>
                <w:dstrike w:val="0"/>
                <w:sz w:val="24"/>
                <w:szCs w:val="24"/>
              </w:rPr>
              <w:t>safety</w:t>
            </w:r>
            <w:r w:rsidRPr="55015454" w:rsidR="70FF9A57">
              <w:rPr>
                <w:rFonts w:ascii="Times New Roman" w:hAnsi="Times New Roman" w:eastAsia="Times New Roman" w:cs="Times New Roman"/>
                <w:b w:val="0"/>
                <w:bCs w:val="0"/>
                <w:i w:val="0"/>
                <w:iCs w:val="0"/>
                <w:strike w:val="0"/>
                <w:dstrike w:val="0"/>
                <w:sz w:val="24"/>
                <w:szCs w:val="24"/>
              </w:rPr>
              <w:t xml:space="preserve"> date to the consumer</w:t>
            </w:r>
            <w:r w:rsidRPr="55015454" w:rsidR="4F6BECA0">
              <w:rPr>
                <w:rFonts w:ascii="Times New Roman" w:hAnsi="Times New Roman" w:eastAsia="Times New Roman" w:cs="Times New Roman"/>
                <w:b w:val="0"/>
                <w:bCs w:val="0"/>
                <w:i w:val="0"/>
                <w:iCs w:val="0"/>
                <w:strike w:val="0"/>
                <w:dstrike w:val="0"/>
                <w:sz w:val="24"/>
                <w:szCs w:val="24"/>
              </w:rPr>
              <w:t xml:space="preserve">. </w:t>
            </w:r>
          </w:p>
        </w:tc>
      </w:tr>
    </w:tbl>
    <w:p xmlns:wp14="http://schemas.microsoft.com/office/word/2010/wordml" w:rsidP="55015454" wp14:paraId="1A43D407" wp14:textId="51DDAF0A">
      <w:pPr>
        <w:pStyle w:val="Normal"/>
        <w:spacing w:before="0" w:beforeAutospacing="off" w:after="0" w:afterAutospacing="on"/>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r w:rsidRPr="55015454" w:rsidR="2085D0D5">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Ending Poverty</w:t>
      </w:r>
      <w:r w:rsidRPr="55015454" w:rsidR="2085D0D5">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 </w:t>
      </w:r>
    </w:p>
    <w:tbl>
      <w:tblPr>
        <w:tblStyle w:val="TableNormal"/>
        <w:tblW w:w="9472" w:type="dxa"/>
        <w:tblLayout w:type="fixed"/>
        <w:tblLook w:val="06A0" w:firstRow="1" w:lastRow="0" w:firstColumn="1" w:lastColumn="0" w:noHBand="1" w:noVBand="1"/>
      </w:tblPr>
      <w:tblGrid>
        <w:gridCol w:w="1275"/>
        <w:gridCol w:w="1605"/>
        <w:gridCol w:w="6592"/>
      </w:tblGrid>
      <w:tr w:rsidR="57F337FD" w:rsidTr="55015454" w14:paraId="00D8B9FD">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1BD2A4D0" w14:textId="4AD78529">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AB 1808</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19BD09B2" w14:textId="7B336427">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356</w:t>
            </w:r>
          </w:p>
        </w:tc>
        <w:tc>
          <w:tcPr>
            <w:tcW w:w="6592"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02BBD069" w:rsidP="55015454" w:rsidRDefault="02BBD069" w14:paraId="4B22C476" w14:textId="09B07CA9">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231C613F">
              <w:rPr>
                <w:rFonts w:ascii="Times New Roman" w:hAnsi="Times New Roman" w:eastAsia="Times New Roman" w:cs="Times New Roman"/>
                <w:b w:val="0"/>
                <w:bCs w:val="0"/>
                <w:i w:val="0"/>
                <w:iCs w:val="0"/>
                <w:strike w:val="0"/>
                <w:dstrike w:val="0"/>
                <w:color w:val="000000" w:themeColor="text1" w:themeTint="FF" w:themeShade="FF"/>
                <w:sz w:val="24"/>
                <w:szCs w:val="24"/>
                <w:u w:val="none"/>
              </w:rPr>
              <w:t>Eliminates</w:t>
            </w:r>
            <w:r w:rsidRPr="55015454" w:rsidR="231C613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the 12-month eligibility period for families in CalWORKs Stages 1, 2, or 3 childcare programs, extending eligibility to </w:t>
            </w:r>
            <w:r w:rsidRPr="55015454" w:rsidR="231C613F">
              <w:rPr>
                <w:rFonts w:ascii="Times New Roman" w:hAnsi="Times New Roman" w:eastAsia="Times New Roman" w:cs="Times New Roman"/>
                <w:b w:val="0"/>
                <w:bCs w:val="0"/>
                <w:i w:val="0"/>
                <w:iCs w:val="0"/>
                <w:strike w:val="0"/>
                <w:dstrike w:val="0"/>
                <w:color w:val="000000" w:themeColor="text1" w:themeTint="FF" w:themeShade="FF"/>
                <w:sz w:val="24"/>
                <w:szCs w:val="24"/>
                <w:u w:val="none"/>
              </w:rPr>
              <w:t>24 months</w:t>
            </w:r>
            <w:r w:rsidRPr="55015454" w:rsidR="231C613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with no </w:t>
            </w:r>
            <w:r w:rsidRPr="55015454" w:rsidR="231C613F">
              <w:rPr>
                <w:rFonts w:ascii="Times New Roman" w:hAnsi="Times New Roman" w:eastAsia="Times New Roman" w:cs="Times New Roman"/>
                <w:b w:val="0"/>
                <w:bCs w:val="0"/>
                <w:i w:val="0"/>
                <w:iCs w:val="0"/>
                <w:strike w:val="0"/>
                <w:dstrike w:val="0"/>
                <w:color w:val="000000" w:themeColor="text1" w:themeTint="FF" w:themeShade="FF"/>
                <w:sz w:val="24"/>
                <w:szCs w:val="24"/>
                <w:u w:val="none"/>
              </w:rPr>
              <w:t>additional</w:t>
            </w:r>
            <w:r w:rsidRPr="55015454" w:rsidR="231C613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need to reapply or report changes</w:t>
            </w:r>
            <w:r w:rsidRPr="55015454" w:rsidR="58291112">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58291112">
              <w:rPr>
                <w:rFonts w:ascii="Times New Roman" w:hAnsi="Times New Roman" w:eastAsia="Times New Roman" w:cs="Times New Roman"/>
                <w:b w:val="0"/>
                <w:bCs w:val="0"/>
                <w:i w:val="0"/>
                <w:iCs w:val="0"/>
                <w:strike w:val="0"/>
                <w:dstrike w:val="0"/>
                <w:color w:val="000000" w:themeColor="text1" w:themeTint="FF" w:themeShade="FF"/>
                <w:sz w:val="24"/>
                <w:szCs w:val="24"/>
                <w:u w:val="none"/>
              </w:rPr>
              <w:t>to</w:t>
            </w:r>
            <w:r w:rsidRPr="55015454" w:rsidR="58291112">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ensure consistency with the general Child Care and Development Services Act. </w:t>
            </w:r>
          </w:p>
        </w:tc>
      </w:tr>
      <w:tr w:rsidR="57F337FD" w:rsidTr="55015454" w14:paraId="0E6FF540">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16551AF3" w14:textId="273B2357">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AB 310</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42ACF573" w14:textId="5A596AAB">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231</w:t>
            </w:r>
          </w:p>
        </w:tc>
        <w:tc>
          <w:tcPr>
            <w:tcW w:w="6592"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1394B852" w:rsidP="55015454" w:rsidRDefault="1394B852" w14:paraId="16D5AE0C" w14:textId="09BC8B02">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113EDECC">
              <w:rPr>
                <w:rFonts w:ascii="Times New Roman" w:hAnsi="Times New Roman" w:eastAsia="Times New Roman" w:cs="Times New Roman"/>
                <w:b w:val="0"/>
                <w:bCs w:val="0"/>
                <w:i w:val="0"/>
                <w:iCs w:val="0"/>
                <w:strike w:val="0"/>
                <w:dstrike w:val="0"/>
                <w:color w:val="000000" w:themeColor="text1" w:themeTint="FF" w:themeShade="FF"/>
                <w:sz w:val="24"/>
                <w:szCs w:val="24"/>
                <w:u w:val="none"/>
              </w:rPr>
              <w:t>Effective January 31, 2026, this law r</w:t>
            </w:r>
            <w:r w:rsidRPr="55015454" w:rsidR="314D882D">
              <w:rPr>
                <w:rFonts w:ascii="Times New Roman" w:hAnsi="Times New Roman" w:eastAsia="Times New Roman" w:cs="Times New Roman"/>
                <w:b w:val="0"/>
                <w:bCs w:val="0"/>
                <w:i w:val="0"/>
                <w:iCs w:val="0"/>
                <w:strike w:val="0"/>
                <w:dstrike w:val="0"/>
                <w:color w:val="000000" w:themeColor="text1" w:themeTint="FF" w:themeShade="FF"/>
                <w:sz w:val="24"/>
                <w:szCs w:val="24"/>
                <w:u w:val="none"/>
              </w:rPr>
              <w:t>equires the State Department of State Hospitals to</w:t>
            </w:r>
            <w:r w:rsidRPr="55015454" w:rsidR="7B0DAD0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7B0DAD0F">
              <w:rPr>
                <w:rFonts w:ascii="Times New Roman" w:hAnsi="Times New Roman" w:eastAsia="Times New Roman" w:cs="Times New Roman"/>
                <w:b w:val="0"/>
                <w:bCs w:val="0"/>
                <w:i w:val="0"/>
                <w:iCs w:val="0"/>
                <w:strike w:val="0"/>
                <w:dstrike w:val="0"/>
                <w:color w:val="000000" w:themeColor="text1" w:themeTint="FF" w:themeShade="FF"/>
                <w:sz w:val="24"/>
                <w:szCs w:val="24"/>
                <w:u w:val="none"/>
              </w:rPr>
              <w:t>submit</w:t>
            </w:r>
            <w:r w:rsidRPr="55015454" w:rsidR="7B0DAD0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a </w:t>
            </w:r>
            <w:r w:rsidRPr="55015454" w:rsidR="6CD98E2B">
              <w:rPr>
                <w:rFonts w:ascii="Times New Roman" w:hAnsi="Times New Roman" w:eastAsia="Times New Roman" w:cs="Times New Roman"/>
                <w:b w:val="0"/>
                <w:bCs w:val="0"/>
                <w:i w:val="0"/>
                <w:iCs w:val="0"/>
                <w:strike w:val="0"/>
                <w:dstrike w:val="0"/>
                <w:color w:val="000000" w:themeColor="text1" w:themeTint="FF" w:themeShade="FF"/>
                <w:sz w:val="24"/>
                <w:szCs w:val="24"/>
                <w:u w:val="none"/>
              </w:rPr>
              <w:t>report</w:t>
            </w:r>
            <w:r w:rsidRPr="55015454" w:rsidR="7B0DAD0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of the amounts </w:t>
            </w:r>
            <w:r w:rsidRPr="55015454" w:rsidR="7B0DAD0F">
              <w:rPr>
                <w:rFonts w:ascii="Times New Roman" w:hAnsi="Times New Roman" w:eastAsia="Times New Roman" w:cs="Times New Roman"/>
                <w:b w:val="0"/>
                <w:bCs w:val="0"/>
                <w:i w:val="0"/>
                <w:iCs w:val="0"/>
                <w:strike w:val="0"/>
                <w:dstrike w:val="0"/>
                <w:color w:val="000000" w:themeColor="text1" w:themeTint="FF" w:themeShade="FF"/>
                <w:sz w:val="24"/>
                <w:szCs w:val="24"/>
                <w:u w:val="none"/>
              </w:rPr>
              <w:t>expended</w:t>
            </w:r>
            <w:r w:rsidRPr="55015454" w:rsidR="7B0DAD0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during the 2024-25</w:t>
            </w:r>
            <w:r w:rsidRPr="55015454" w:rsidR="4E2C459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fiscal year to the Senate Committee on Budget and Fiscal Review and the Assembly Committe on Budget</w:t>
            </w:r>
            <w:r w:rsidRPr="55015454" w:rsidR="0CF16F2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The provisions will be inoperative on June 30, </w:t>
            </w:r>
            <w:r w:rsidRPr="55015454" w:rsidR="0CF16F2D">
              <w:rPr>
                <w:rFonts w:ascii="Times New Roman" w:hAnsi="Times New Roman" w:eastAsia="Times New Roman" w:cs="Times New Roman"/>
                <w:b w:val="0"/>
                <w:bCs w:val="0"/>
                <w:i w:val="0"/>
                <w:iCs w:val="0"/>
                <w:strike w:val="0"/>
                <w:dstrike w:val="0"/>
                <w:color w:val="000000" w:themeColor="text1" w:themeTint="FF" w:themeShade="FF"/>
                <w:sz w:val="24"/>
                <w:szCs w:val="24"/>
                <w:u w:val="none"/>
              </w:rPr>
              <w:t>2026,</w:t>
            </w:r>
            <w:r w:rsidRPr="55015454" w:rsidR="0CF16F2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and will be repealed on January 1, 2027. </w:t>
            </w:r>
          </w:p>
        </w:tc>
      </w:tr>
      <w:tr w:rsidR="57F337FD" w:rsidTr="55015454" w14:paraId="214BDC59">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138B5B34" w14:textId="4025BCC4">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SB 1089</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642A2013" w14:textId="09B49651">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625</w:t>
            </w:r>
          </w:p>
        </w:tc>
        <w:tc>
          <w:tcPr>
            <w:tcW w:w="6592"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62D2EFC" w:rsidP="55015454" w:rsidRDefault="262D2EFC" w14:paraId="4E0E1931" w14:textId="16156A1C">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146E5AC2">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Requires grocery and </w:t>
            </w:r>
            <w:r w:rsidRPr="55015454" w:rsidR="65B7DAE4">
              <w:rPr>
                <w:rFonts w:ascii="Times New Roman" w:hAnsi="Times New Roman" w:eastAsia="Times New Roman" w:cs="Times New Roman"/>
                <w:b w:val="0"/>
                <w:bCs w:val="0"/>
                <w:i w:val="0"/>
                <w:iCs w:val="0"/>
                <w:strike w:val="0"/>
                <w:dstrike w:val="0"/>
                <w:color w:val="000000" w:themeColor="text1" w:themeTint="FF" w:themeShade="FF"/>
                <w:sz w:val="24"/>
                <w:szCs w:val="24"/>
                <w:u w:val="none"/>
              </w:rPr>
              <w:t>pharmacy</w:t>
            </w:r>
            <w:r w:rsidRPr="55015454" w:rsidR="146E5AC2">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establishment to provide written notice of its closure to the employees and </w:t>
            </w:r>
            <w:r w:rsidRPr="55015454" w:rsidR="70D7F1CA">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the Employment Development Department no later </w:t>
            </w:r>
            <w:r w:rsidRPr="55015454" w:rsidR="3B44E669">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than </w:t>
            </w:r>
            <w:r w:rsidRPr="55015454" w:rsidR="3B44E669">
              <w:rPr>
                <w:rFonts w:ascii="Times New Roman" w:hAnsi="Times New Roman" w:eastAsia="Times New Roman" w:cs="Times New Roman"/>
                <w:b w:val="0"/>
                <w:bCs w:val="0"/>
                <w:i w:val="0"/>
                <w:iCs w:val="0"/>
                <w:strike w:val="0"/>
                <w:dstrike w:val="0"/>
                <w:color w:val="000000" w:themeColor="text1" w:themeTint="FF" w:themeShade="FF"/>
                <w:sz w:val="24"/>
                <w:szCs w:val="24"/>
                <w:u w:val="none"/>
              </w:rPr>
              <w:t>45</w:t>
            </w:r>
            <w:r w:rsidRPr="55015454" w:rsidR="70D7F1CA">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days</w:t>
            </w:r>
            <w:r w:rsidRPr="55015454" w:rsidR="70D7F1CA">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before its closure. </w:t>
            </w:r>
            <w:r w:rsidRPr="55015454" w:rsidR="2CD82C77">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After the written notice is </w:t>
            </w:r>
            <w:r w:rsidRPr="55015454" w:rsidR="17B60F0A">
              <w:rPr>
                <w:rFonts w:ascii="Times New Roman" w:hAnsi="Times New Roman" w:eastAsia="Times New Roman" w:cs="Times New Roman"/>
                <w:b w:val="0"/>
                <w:bCs w:val="0"/>
                <w:i w:val="0"/>
                <w:iCs w:val="0"/>
                <w:strike w:val="0"/>
                <w:dstrike w:val="0"/>
                <w:color w:val="000000" w:themeColor="text1" w:themeTint="FF" w:themeShade="FF"/>
                <w:sz w:val="24"/>
                <w:szCs w:val="24"/>
                <w:u w:val="none"/>
              </w:rPr>
              <w:t>received,</w:t>
            </w:r>
            <w:r w:rsidRPr="55015454" w:rsidR="2CD82C77">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the county is </w:t>
            </w:r>
            <w:r w:rsidRPr="55015454" w:rsidR="2CD82C77">
              <w:rPr>
                <w:rFonts w:ascii="Times New Roman" w:hAnsi="Times New Roman" w:eastAsia="Times New Roman" w:cs="Times New Roman"/>
                <w:b w:val="0"/>
                <w:bCs w:val="0"/>
                <w:i w:val="0"/>
                <w:iCs w:val="0"/>
                <w:strike w:val="0"/>
                <w:dstrike w:val="0"/>
                <w:color w:val="000000" w:themeColor="text1" w:themeTint="FF" w:themeShade="FF"/>
                <w:sz w:val="24"/>
                <w:szCs w:val="24"/>
                <w:u w:val="none"/>
              </w:rPr>
              <w:t>required</w:t>
            </w:r>
            <w:r w:rsidRPr="55015454" w:rsidR="2CD82C77">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to provide the local workforce development board about safety net programs and the a</w:t>
            </w:r>
            <w:r w:rsidRPr="55015454" w:rsidR="51C4AFE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vailability </w:t>
            </w:r>
            <w:r w:rsidRPr="55015454" w:rsidR="2CD82C77">
              <w:rPr>
                <w:rFonts w:ascii="Times New Roman" w:hAnsi="Times New Roman" w:eastAsia="Times New Roman" w:cs="Times New Roman"/>
                <w:b w:val="0"/>
                <w:bCs w:val="0"/>
                <w:i w:val="0"/>
                <w:iCs w:val="0"/>
                <w:strike w:val="0"/>
                <w:dstrike w:val="0"/>
                <w:color w:val="000000" w:themeColor="text1" w:themeTint="FF" w:themeShade="FF"/>
                <w:sz w:val="24"/>
                <w:szCs w:val="24"/>
                <w:u w:val="none"/>
              </w:rPr>
              <w:t>of local workforce training servic</w:t>
            </w:r>
            <w:r w:rsidRPr="55015454" w:rsidR="5F99EC2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es to the impacted employees no later than </w:t>
            </w:r>
            <w:r w:rsidRPr="55015454" w:rsidR="5F99EC2F">
              <w:rPr>
                <w:rFonts w:ascii="Times New Roman" w:hAnsi="Times New Roman" w:eastAsia="Times New Roman" w:cs="Times New Roman"/>
                <w:b w:val="0"/>
                <w:bCs w:val="0"/>
                <w:i w:val="0"/>
                <w:iCs w:val="0"/>
                <w:strike w:val="0"/>
                <w:dstrike w:val="0"/>
                <w:color w:val="000000" w:themeColor="text1" w:themeTint="FF" w:themeShade="FF"/>
                <w:sz w:val="24"/>
                <w:szCs w:val="24"/>
                <w:u w:val="none"/>
              </w:rPr>
              <w:t>30 days</w:t>
            </w:r>
            <w:r w:rsidRPr="55015454" w:rsidR="5F99EC2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before</w:t>
            </w:r>
            <w:r w:rsidRPr="55015454" w:rsidR="4EBEDEB1">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the establishments </w:t>
            </w:r>
            <w:r w:rsidRPr="55015454" w:rsidR="5F99EC2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closure. </w:t>
            </w:r>
          </w:p>
        </w:tc>
      </w:tr>
      <w:tr w:rsidR="57F337FD" w:rsidTr="55015454" w14:paraId="7845A09D">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7770E41D" w14:textId="4AF523FF">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SB</w:t>
            </w:r>
            <w:r w:rsidRPr="55015454" w:rsidR="2B68D57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1061</w:t>
            </w:r>
            <w:r w:rsidRPr="55015454" w:rsidR="1F462E8E">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p>
        </w:tc>
        <w:tc>
          <w:tcPr>
            <w:tcW w:w="160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32DC101E" w14:textId="382681B6">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520</w:t>
            </w:r>
          </w:p>
        </w:tc>
        <w:tc>
          <w:tcPr>
            <w:tcW w:w="6592"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4E646589" w:rsidP="55015454" w:rsidRDefault="4E646589" w14:paraId="4274AFB2" w14:textId="73EA8D20">
            <w:pPr>
              <w:pStyle w:val="Normal"/>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70B6DA51">
              <w:rPr>
                <w:rFonts w:ascii="Times New Roman" w:hAnsi="Times New Roman" w:eastAsia="Times New Roman" w:cs="Times New Roman"/>
                <w:b w:val="0"/>
                <w:bCs w:val="0"/>
                <w:i w:val="0"/>
                <w:iCs w:val="0"/>
                <w:strike w:val="0"/>
                <w:dstrike w:val="0"/>
                <w:color w:val="000000" w:themeColor="text1" w:themeTint="FF" w:themeShade="FF"/>
                <w:sz w:val="24"/>
                <w:szCs w:val="24"/>
                <w:u w:val="none"/>
              </w:rPr>
              <w:t>Effective July 1, 2025, this law p</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rohibits consumer credit reporting agencies and investigative consumer reporting agencies from including medical debt in credit reports as a negative factor to prevent medical debt from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i</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mpacting</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an individual’s credit score or ability to obtain credit. The law requires contracts creating medical debt to include the term “A holder of this medical debt contract is prohibited by Section 1785.27 of the Civil Code from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f</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urnishing</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any information related to this debt to a consumer credit reporting agency. In addition to any other penalties allowed by law, if a person knowingly violates that section by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f</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urnishing</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information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r</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egarding</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this debt to a consumer credit reporting agency, the debt shall be void and unenforceable.</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If the contract does not include this, it is void and unenforceable. Additionally, mandating hospitals selling medical debt to third parties to include a provision requiring the buyer to report litigation from the debt within the contracts and for hospitals to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m</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aintain</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D96F2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 database with this information. Lastly, health insurers must notify the provider when payments have been made to the insured individual.  </w:t>
            </w:r>
          </w:p>
        </w:tc>
      </w:tr>
    </w:tbl>
    <w:p w:rsidR="55015454" w:rsidP="55015454" w:rsidRDefault="55015454" w14:paraId="6058FD82" w14:textId="7F0BDEA5">
      <w:pPr>
        <w:pStyle w:val="Normal"/>
        <w:spacing w:before="0" w:beforeAutospacing="off" w:after="0" w:afterAutospacing="on"/>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pPr>
    </w:p>
    <w:p xmlns:wp14="http://schemas.microsoft.com/office/word/2010/wordml" w:rsidP="55015454" wp14:paraId="43C279E1" wp14:textId="2EEB7C17">
      <w:pPr>
        <w:pStyle w:val="Normal"/>
        <w:spacing w:before="0" w:beforeAutospacing="off" w:after="0" w:afterAutospacing="on"/>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pPr>
      <w:r w:rsidRPr="55015454" w:rsidR="2527876E">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Health and Human Services</w:t>
      </w:r>
    </w:p>
    <w:tbl>
      <w:tblPr>
        <w:tblStyle w:val="TableNormal"/>
        <w:tblW w:w="9473" w:type="dxa"/>
        <w:tblLayout w:type="fixed"/>
        <w:tblLook w:val="06A0" w:firstRow="1" w:lastRow="0" w:firstColumn="1" w:lastColumn="0" w:noHBand="1" w:noVBand="1"/>
      </w:tblPr>
      <w:tblGrid>
        <w:gridCol w:w="1275"/>
        <w:gridCol w:w="1530"/>
        <w:gridCol w:w="6668"/>
      </w:tblGrid>
      <w:tr w:rsidR="57F337FD" w:rsidTr="55015454" w14:paraId="4252C64E">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1736744A" w:rsidP="55015454" w:rsidRDefault="1736744A" w14:paraId="0A60FDA7" w14:textId="54B112CE">
            <w:pPr>
              <w:shd w:val="clear" w:color="auto" w:fill="FFFFFF" w:themeFill="background1"/>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1736744A">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SB 1137 </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1736744A" w:rsidP="55015454" w:rsidRDefault="1736744A" w14:paraId="0E09C785" w14:textId="1507ADE0">
            <w:pPr>
              <w:pStyle w:val="Normal"/>
              <w:suppressLineNumbers w:val="0"/>
              <w:bidi w:val="0"/>
              <w:spacing w:before="0" w:beforeAutospacing="off" w:after="0" w:afterAutospacing="on" w:line="279" w:lineRule="auto"/>
              <w:ind w:left="0" w:right="0"/>
              <w:jc w:val="left"/>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1736744A">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779</w:t>
            </w:r>
          </w:p>
        </w:tc>
        <w:tc>
          <w:tcPr>
            <w:tcW w:w="666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076B0FE0" w:rsidP="55015454" w:rsidRDefault="076B0FE0" w14:paraId="701ACB91" w14:textId="190F88BC">
            <w:pPr>
              <w:pStyle w:val="Normal"/>
              <w:spacing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076B0FE0">
              <w:rPr>
                <w:rFonts w:ascii="Times New Roman" w:hAnsi="Times New Roman" w:eastAsia="Times New Roman" w:cs="Times New Roman"/>
                <w:b w:val="0"/>
                <w:bCs w:val="0"/>
                <w:i w:val="0"/>
                <w:iCs w:val="0"/>
                <w:strike w:val="0"/>
                <w:dstrike w:val="0"/>
                <w:color w:val="000000" w:themeColor="text1" w:themeTint="FF" w:themeShade="FF"/>
                <w:sz w:val="24"/>
                <w:szCs w:val="24"/>
                <w:u w:val="none"/>
              </w:rPr>
              <w:t>This law</w:t>
            </w:r>
            <w:r w:rsidRPr="55015454" w:rsidR="6F71BDC1">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76B0FE0">
              <w:rPr>
                <w:rFonts w:ascii="Times New Roman" w:hAnsi="Times New Roman" w:eastAsia="Times New Roman" w:cs="Times New Roman"/>
                <w:b w:val="0"/>
                <w:bCs w:val="0"/>
                <w:i w:val="0"/>
                <w:iCs w:val="0"/>
                <w:strike w:val="0"/>
                <w:dstrike w:val="0"/>
                <w:color w:val="000000" w:themeColor="text1" w:themeTint="FF" w:themeShade="FF"/>
                <w:sz w:val="24"/>
                <w:szCs w:val="24"/>
                <w:u w:val="none"/>
              </w:rPr>
              <w:t>recognizes intersectionality under C</w:t>
            </w:r>
            <w:r w:rsidRPr="55015454" w:rsidR="10847E9A">
              <w:rPr>
                <w:rFonts w:ascii="Times New Roman" w:hAnsi="Times New Roman" w:eastAsia="Times New Roman" w:cs="Times New Roman"/>
                <w:b w:val="0"/>
                <w:bCs w:val="0"/>
                <w:i w:val="0"/>
                <w:iCs w:val="0"/>
                <w:strike w:val="0"/>
                <w:dstrike w:val="0"/>
                <w:color w:val="000000" w:themeColor="text1" w:themeTint="FF" w:themeShade="FF"/>
                <w:sz w:val="24"/>
                <w:szCs w:val="24"/>
                <w:u w:val="none"/>
              </w:rPr>
              <w:t>alifornia</w:t>
            </w:r>
            <w:r w:rsidRPr="55015454" w:rsidR="076B0F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anti-discrimination laws, clarifying </w:t>
            </w:r>
            <w:r w:rsidRPr="55015454" w:rsidR="1CD22DB3">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and redefining language used in </w:t>
            </w:r>
            <w:r w:rsidRPr="55015454" w:rsidR="076B0FE0">
              <w:rPr>
                <w:rFonts w:ascii="Times New Roman" w:hAnsi="Times New Roman" w:eastAsia="Times New Roman" w:cs="Times New Roman"/>
                <w:b w:val="0"/>
                <w:bCs w:val="0"/>
                <w:i w:val="0"/>
                <w:iCs w:val="0"/>
                <w:strike w:val="0"/>
                <w:dstrike w:val="0"/>
                <w:color w:val="000000" w:themeColor="text1" w:themeTint="FF" w:themeShade="FF"/>
                <w:sz w:val="24"/>
                <w:szCs w:val="24"/>
                <w:u w:val="none"/>
              </w:rPr>
              <w:t>the Fair Employment &amp; Housing Act</w:t>
            </w:r>
            <w:r w:rsidRPr="55015454" w:rsidR="519A4A61">
              <w:rPr>
                <w:rFonts w:ascii="Times New Roman" w:hAnsi="Times New Roman" w:eastAsia="Times New Roman" w:cs="Times New Roman"/>
                <w:b w:val="0"/>
                <w:bCs w:val="0"/>
                <w:i w:val="0"/>
                <w:iCs w:val="0"/>
                <w:strike w:val="0"/>
                <w:dstrike w:val="0"/>
                <w:color w:val="000000" w:themeColor="text1" w:themeTint="FF" w:themeShade="FF"/>
                <w:sz w:val="24"/>
                <w:szCs w:val="24"/>
                <w:u w:val="none"/>
              </w:rPr>
              <w:t>,</w:t>
            </w:r>
            <w:r w:rsidRPr="55015454" w:rsidR="076B0F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the Unruh Civil Rights Act</w:t>
            </w:r>
            <w:r w:rsidRPr="55015454" w:rsidR="281AD8B0">
              <w:rPr>
                <w:rFonts w:ascii="Times New Roman" w:hAnsi="Times New Roman" w:eastAsia="Times New Roman" w:cs="Times New Roman"/>
                <w:b w:val="0"/>
                <w:bCs w:val="0"/>
                <w:i w:val="0"/>
                <w:iCs w:val="0"/>
                <w:strike w:val="0"/>
                <w:dstrike w:val="0"/>
                <w:color w:val="000000" w:themeColor="text1" w:themeTint="FF" w:themeShade="FF"/>
                <w:sz w:val="24"/>
                <w:szCs w:val="24"/>
                <w:u w:val="none"/>
              </w:rPr>
              <w:t>,</w:t>
            </w:r>
            <w:r w:rsidRPr="55015454" w:rsidR="59D2F18E">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and provisions of the Education Code to </w:t>
            </w:r>
            <w:r w:rsidRPr="55015454" w:rsidR="076B0FE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protect against discrimination &amp; harassment based not just on one protected characteristic in the </w:t>
            </w:r>
            <w:r w:rsidRPr="55015454" w:rsidR="076B0FE0">
              <w:rPr>
                <w:rFonts w:ascii="Times New Roman" w:hAnsi="Times New Roman" w:eastAsia="Times New Roman" w:cs="Times New Roman"/>
                <w:b w:val="0"/>
                <w:bCs w:val="0"/>
                <w:i w:val="0"/>
                <w:iCs w:val="0"/>
                <w:strike w:val="0"/>
                <w:dstrike w:val="0"/>
                <w:color w:val="000000" w:themeColor="text1" w:themeTint="FF" w:themeShade="FF"/>
                <w:sz w:val="24"/>
                <w:szCs w:val="24"/>
                <w:u w:val="none"/>
              </w:rPr>
              <w:t>statute but also the intersection or combination of two or more protected bases.</w:t>
            </w:r>
          </w:p>
          <w:p w:rsidR="57F337FD" w:rsidP="55015454" w:rsidRDefault="57F337FD" w14:paraId="004BC62F" w14:textId="40BD61F6">
            <w:pPr>
              <w:pStyle w:val="Normal"/>
              <w:spacing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p>
        </w:tc>
      </w:tr>
      <w:tr w:rsidR="57F337FD" w:rsidTr="55015454" w14:paraId="7006F8C0">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D3F6A7B" w:rsidP="55015454" w:rsidRDefault="5D3F6A7B" w14:paraId="056FE8D5" w14:textId="195BB151">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D3F6A7B">
              <w:rPr>
                <w:rFonts w:ascii="Times New Roman" w:hAnsi="Times New Roman" w:eastAsia="Times New Roman" w:cs="Times New Roman"/>
                <w:b w:val="0"/>
                <w:bCs w:val="0"/>
                <w:i w:val="0"/>
                <w:iCs w:val="0"/>
                <w:strike w:val="0"/>
                <w:dstrike w:val="0"/>
                <w:color w:val="000000" w:themeColor="text1" w:themeTint="FF" w:themeShade="FF"/>
                <w:sz w:val="24"/>
                <w:szCs w:val="24"/>
                <w:u w:val="none"/>
              </w:rPr>
              <w:t>SB 1386</w:t>
            </w: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233728EF" w:rsidP="55015454" w:rsidRDefault="233728EF" w14:paraId="2591107F" w14:textId="0A2B0774">
            <w:pPr>
              <w:pStyle w:val="Normal"/>
              <w:suppressLineNumbers w:val="0"/>
              <w:bidi w:val="0"/>
              <w:spacing w:before="0" w:beforeAutospacing="off" w:after="0" w:afterAutospacing="on" w:line="279" w:lineRule="auto"/>
              <w:ind w:left="0" w:right="0"/>
              <w:jc w:val="left"/>
            </w:pPr>
            <w:r w:rsidRPr="55015454" w:rsidR="233728EF">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993</w:t>
            </w:r>
          </w:p>
        </w:tc>
        <w:tc>
          <w:tcPr>
            <w:tcW w:w="666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17F5A93B" w:rsidP="55015454" w:rsidRDefault="17F5A93B" w14:paraId="257C55F3" w14:textId="66DA7B7C">
            <w:pPr>
              <w:pStyle w:val="Normal"/>
              <w:spacing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17F5A93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This law makes the introduction of a plaintiff's </w:t>
            </w:r>
            <w:r w:rsidRPr="55015454" w:rsidR="17F5A93B">
              <w:rPr>
                <w:rFonts w:ascii="Times New Roman" w:hAnsi="Times New Roman" w:eastAsia="Times New Roman" w:cs="Times New Roman"/>
                <w:b w:val="0"/>
                <w:bCs w:val="0"/>
                <w:i w:val="0"/>
                <w:iCs w:val="0"/>
                <w:strike w:val="0"/>
                <w:dstrike w:val="0"/>
                <w:color w:val="000000" w:themeColor="text1" w:themeTint="FF" w:themeShade="FF"/>
                <w:sz w:val="24"/>
                <w:szCs w:val="24"/>
                <w:u w:val="none"/>
              </w:rPr>
              <w:t>previous</w:t>
            </w:r>
            <w:r w:rsidRPr="55015454" w:rsidR="17F5A93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sexual conduct inadmissible for use to attack the credibility of the plaintiff's testimony </w:t>
            </w:r>
            <w:r w:rsidRPr="55015454" w:rsidR="17F5A93B">
              <w:rPr>
                <w:rFonts w:ascii="Times New Roman" w:hAnsi="Times New Roman" w:eastAsia="Times New Roman" w:cs="Times New Roman"/>
                <w:b w:val="0"/>
                <w:bCs w:val="0"/>
                <w:i w:val="0"/>
                <w:iCs w:val="0"/>
                <w:strike w:val="0"/>
                <w:dstrike w:val="0"/>
                <w:color w:val="000000" w:themeColor="text1" w:themeTint="FF" w:themeShade="FF"/>
                <w:sz w:val="24"/>
                <w:szCs w:val="24"/>
                <w:u w:val="none"/>
              </w:rPr>
              <w:t>regarding</w:t>
            </w:r>
            <w:r w:rsidRPr="55015454" w:rsidR="17F5A93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consent or absence of injury</w:t>
            </w:r>
            <w:r w:rsidRPr="55015454" w:rsidR="4B128E4E">
              <w:rPr>
                <w:rFonts w:ascii="Times New Roman" w:hAnsi="Times New Roman" w:eastAsia="Times New Roman" w:cs="Times New Roman"/>
                <w:b w:val="0"/>
                <w:bCs w:val="0"/>
                <w:i w:val="0"/>
                <w:iCs w:val="0"/>
                <w:strike w:val="0"/>
                <w:dstrike w:val="0"/>
                <w:color w:val="000000" w:themeColor="text1" w:themeTint="FF" w:themeShade="FF"/>
                <w:sz w:val="24"/>
                <w:szCs w:val="24"/>
                <w:u w:val="none"/>
              </w:rPr>
              <w:t>. Additionally</w:t>
            </w:r>
            <w:r w:rsidRPr="55015454" w:rsidR="096389DA">
              <w:rPr>
                <w:rFonts w:ascii="Times New Roman" w:hAnsi="Times New Roman" w:eastAsia="Times New Roman" w:cs="Times New Roman"/>
                <w:b w:val="0"/>
                <w:bCs w:val="0"/>
                <w:i w:val="0"/>
                <w:iCs w:val="0"/>
                <w:strike w:val="0"/>
                <w:dstrike w:val="0"/>
                <w:color w:val="000000" w:themeColor="text1" w:themeTint="FF" w:themeShade="FF"/>
                <w:sz w:val="24"/>
                <w:szCs w:val="24"/>
                <w:u w:val="none"/>
              </w:rPr>
              <w:t>,</w:t>
            </w:r>
            <w:r w:rsidRPr="55015454" w:rsidR="4B128E4E">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49E276C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in cases of sexual battery involving a minor and an </w:t>
            </w:r>
            <w:r w:rsidRPr="55015454" w:rsidR="02388791">
              <w:rPr>
                <w:rFonts w:ascii="Times New Roman" w:hAnsi="Times New Roman" w:eastAsia="Times New Roman" w:cs="Times New Roman"/>
                <w:b w:val="0"/>
                <w:bCs w:val="0"/>
                <w:i w:val="0"/>
                <w:iCs w:val="0"/>
                <w:strike w:val="0"/>
                <w:dstrike w:val="0"/>
                <w:color w:val="000000" w:themeColor="text1" w:themeTint="FF" w:themeShade="FF"/>
                <w:sz w:val="24"/>
                <w:szCs w:val="24"/>
                <w:u w:val="none"/>
              </w:rPr>
              <w:t>adult</w:t>
            </w:r>
            <w:r w:rsidRPr="55015454" w:rsidR="49E276C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in a position of power</w:t>
            </w:r>
            <w:r w:rsidRPr="55015454" w:rsidR="265EA827">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7DDE3764">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the </w:t>
            </w:r>
            <w:r w:rsidRPr="55015454" w:rsidR="6DA2F321">
              <w:rPr>
                <w:rFonts w:ascii="Times New Roman" w:hAnsi="Times New Roman" w:eastAsia="Times New Roman" w:cs="Times New Roman"/>
                <w:b w:val="0"/>
                <w:bCs w:val="0"/>
                <w:i w:val="0"/>
                <w:iCs w:val="0"/>
                <w:strike w:val="0"/>
                <w:dstrike w:val="0"/>
                <w:color w:val="000000" w:themeColor="text1" w:themeTint="FF" w:themeShade="FF"/>
                <w:sz w:val="24"/>
                <w:szCs w:val="24"/>
                <w:u w:val="none"/>
              </w:rPr>
              <w:t>minor's</w:t>
            </w:r>
            <w:r w:rsidRPr="55015454" w:rsidR="7DDE3764">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sexual conduct with the adult will be inadmissible to prove consent or the absence of injury to the plaintiff</w:t>
            </w:r>
            <w:r w:rsidRPr="55015454" w:rsidR="056A2067">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598861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p>
        </w:tc>
      </w:tr>
      <w:tr w:rsidR="57F337FD" w:rsidTr="55015454" w14:paraId="6FE569D6">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79E94B38" w14:textId="1B86D365">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73E2F5F2">
              <w:rPr>
                <w:rFonts w:ascii="Times New Roman" w:hAnsi="Times New Roman" w:eastAsia="Times New Roman" w:cs="Times New Roman"/>
                <w:b w:val="0"/>
                <w:bCs w:val="0"/>
                <w:i w:val="0"/>
                <w:iCs w:val="0"/>
                <w:strike w:val="0"/>
                <w:dstrike w:val="0"/>
                <w:color w:val="000000" w:themeColor="text1" w:themeTint="FF" w:themeShade="FF"/>
                <w:sz w:val="24"/>
                <w:szCs w:val="24"/>
                <w:u w:val="none"/>
              </w:rPr>
              <w:t>AB 518</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79A59448" w14:textId="2D6B2A99">
            <w:pPr>
              <w:pStyle w:val="Normal"/>
              <w:suppressLineNumbers w:val="0"/>
              <w:bidi w:val="0"/>
              <w:spacing w:before="0" w:beforeAutospacing="off" w:after="0" w:afterAutospacing="on" w:line="279" w:lineRule="auto"/>
              <w:ind w:left="0" w:right="0"/>
              <w:jc w:val="left"/>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73E2F5F2">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910</w:t>
            </w:r>
          </w:p>
        </w:tc>
        <w:tc>
          <w:tcPr>
            <w:tcW w:w="666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58E5FD53" w14:textId="7912F421">
            <w:pPr>
              <w:pStyle w:val="Normal"/>
              <w:spacing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61A1D117">
              <w:rPr>
                <w:rFonts w:ascii="Times New Roman" w:hAnsi="Times New Roman" w:eastAsia="Times New Roman" w:cs="Times New Roman"/>
                <w:b w:val="0"/>
                <w:bCs w:val="0"/>
                <w:i w:val="0"/>
                <w:iCs w:val="0"/>
                <w:strike w:val="0"/>
                <w:dstrike w:val="0"/>
                <w:color w:val="000000" w:themeColor="text1" w:themeTint="FF" w:themeShade="FF"/>
                <w:sz w:val="24"/>
                <w:szCs w:val="24"/>
                <w:u w:val="none"/>
              </w:rPr>
              <w:t>Paid family leave for chosen family, expanding the eligibility for paid family leave program benefits to include care for a seriously ill designated person.</w:t>
            </w:r>
          </w:p>
        </w:tc>
      </w:tr>
      <w:tr w:rsidR="57F337FD" w:rsidTr="55015454" w14:paraId="304AA66A">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90403F0" w:rsidP="55015454" w:rsidRDefault="590403F0" w14:paraId="29B16CCA" w14:textId="14710669">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90403F0">
              <w:rPr>
                <w:rFonts w:ascii="Times New Roman" w:hAnsi="Times New Roman" w:eastAsia="Times New Roman" w:cs="Times New Roman"/>
                <w:b w:val="0"/>
                <w:bCs w:val="0"/>
                <w:i w:val="0"/>
                <w:iCs w:val="0"/>
                <w:strike w:val="0"/>
                <w:dstrike w:val="0"/>
                <w:color w:val="000000" w:themeColor="text1" w:themeTint="FF" w:themeShade="FF"/>
                <w:sz w:val="24"/>
                <w:szCs w:val="24"/>
                <w:u w:val="none"/>
              </w:rPr>
              <w:t>SB 1090</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3CF4E82F" w14:textId="5C3DF97A">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SB 1090</w:t>
            </w:r>
          </w:p>
        </w:tc>
        <w:tc>
          <w:tcPr>
            <w:tcW w:w="666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69BDC00B" w:rsidP="55015454" w:rsidRDefault="69BDC00B" w14:paraId="3B29E699" w14:textId="69CDFFD4">
            <w:pPr>
              <w:pStyle w:val="Normal"/>
              <w:spacing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69BDC00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This law </w:t>
            </w:r>
            <w:r w:rsidRPr="55015454" w:rsidR="69BDC00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allows </w:t>
            </w:r>
            <w:r w:rsidRPr="55015454" w:rsidR="69BDC00B">
              <w:rPr>
                <w:rFonts w:ascii="Times New Roman" w:hAnsi="Times New Roman" w:eastAsia="Times New Roman" w:cs="Times New Roman"/>
                <w:b w:val="0"/>
                <w:bCs w:val="0"/>
                <w:i w:val="0"/>
                <w:iCs w:val="0"/>
                <w:strike w:val="0"/>
                <w:dstrike w:val="0"/>
                <w:color w:val="000000" w:themeColor="text1" w:themeTint="FF" w:themeShade="FF"/>
                <w:sz w:val="24"/>
                <w:szCs w:val="24"/>
                <w:u w:val="none"/>
              </w:rPr>
              <w:t>people to apply for Disability Insurance and Paid Family Leave before they stop working to speed up the receipt of benefits and minimize financial burden.</w:t>
            </w:r>
            <w:r w:rsidRPr="55015454" w:rsidR="3CD2FDC8">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Specifically, </w:t>
            </w:r>
            <w:r w:rsidRPr="55015454" w:rsidR="55BDBD52">
              <w:rPr>
                <w:rFonts w:ascii="Times New Roman" w:hAnsi="Times New Roman" w:eastAsia="Times New Roman" w:cs="Times New Roman"/>
                <w:b w:val="0"/>
                <w:bCs w:val="0"/>
                <w:i w:val="0"/>
                <w:iCs w:val="0"/>
                <w:strike w:val="0"/>
                <w:dstrike w:val="0"/>
                <w:color w:val="000000" w:themeColor="text1" w:themeTint="FF" w:themeShade="FF"/>
                <w:sz w:val="24"/>
                <w:szCs w:val="24"/>
                <w:u w:val="none"/>
              </w:rPr>
              <w:t>requiring</w:t>
            </w:r>
            <w:r w:rsidRPr="55015454" w:rsidR="3CD2FDC8">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3CD2FDC8">
              <w:rPr>
                <w:rFonts w:ascii="Times New Roman" w:hAnsi="Times New Roman" w:eastAsia="Times New Roman" w:cs="Times New Roman"/>
                <w:b w:val="0"/>
                <w:bCs w:val="0"/>
                <w:i w:val="0"/>
                <w:iCs w:val="0"/>
                <w:strike w:val="0"/>
                <w:dstrike w:val="0"/>
                <w:color w:val="000000" w:themeColor="text1" w:themeTint="FF" w:themeShade="FF"/>
                <w:sz w:val="24"/>
                <w:szCs w:val="24"/>
                <w:u w:val="none"/>
              </w:rPr>
              <w:t>an initial</w:t>
            </w:r>
            <w:r w:rsidRPr="55015454" w:rsidR="3CD2FDC8">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1E802DB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payment </w:t>
            </w:r>
            <w:r w:rsidRPr="55015454" w:rsidR="3CD2FDC8">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be issued within </w:t>
            </w:r>
            <w:r w:rsidRPr="55015454" w:rsidR="3CD2FDC8">
              <w:rPr>
                <w:rFonts w:ascii="Times New Roman" w:hAnsi="Times New Roman" w:eastAsia="Times New Roman" w:cs="Times New Roman"/>
                <w:b w:val="0"/>
                <w:bCs w:val="0"/>
                <w:i w:val="0"/>
                <w:iCs w:val="0"/>
                <w:strike w:val="0"/>
                <w:dstrike w:val="0"/>
                <w:color w:val="000000" w:themeColor="text1" w:themeTint="FF" w:themeShade="FF"/>
                <w:sz w:val="24"/>
                <w:szCs w:val="24"/>
                <w:u w:val="none"/>
              </w:rPr>
              <w:t>14 days</w:t>
            </w:r>
            <w:r w:rsidRPr="55015454" w:rsidR="3CD2FDC8">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of </w:t>
            </w:r>
            <w:r w:rsidRPr="55015454" w:rsidR="47D23BCE">
              <w:rPr>
                <w:rFonts w:ascii="Times New Roman" w:hAnsi="Times New Roman" w:eastAsia="Times New Roman" w:cs="Times New Roman"/>
                <w:b w:val="0"/>
                <w:bCs w:val="0"/>
                <w:i w:val="0"/>
                <w:iCs w:val="0"/>
                <w:strike w:val="0"/>
                <w:dstrike w:val="0"/>
                <w:color w:val="000000" w:themeColor="text1" w:themeTint="FF" w:themeShade="FF"/>
                <w:sz w:val="24"/>
                <w:szCs w:val="24"/>
                <w:u w:val="none"/>
              </w:rPr>
              <w:t>receiving</w:t>
            </w:r>
            <w:r w:rsidRPr="55015454" w:rsidR="3CD2FDC8">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a claimant’s first </w:t>
            </w:r>
            <w:r w:rsidRPr="55015454" w:rsidR="0E6E5D6A">
              <w:rPr>
                <w:rFonts w:ascii="Times New Roman" w:hAnsi="Times New Roman" w:eastAsia="Times New Roman" w:cs="Times New Roman"/>
                <w:b w:val="0"/>
                <w:bCs w:val="0"/>
                <w:i w:val="0"/>
                <w:iCs w:val="0"/>
                <w:strike w:val="0"/>
                <w:dstrike w:val="0"/>
                <w:color w:val="000000" w:themeColor="text1" w:themeTint="FF" w:themeShade="FF"/>
                <w:sz w:val="24"/>
                <w:szCs w:val="24"/>
                <w:u w:val="none"/>
              </w:rPr>
              <w:t>claim</w:t>
            </w:r>
            <w:r w:rsidRPr="55015454" w:rsidR="7069C242">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or as soon as eligibility begins</w:t>
            </w:r>
            <w:r w:rsidRPr="55015454" w:rsidR="5A9F878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Additionally, the claimant can </w:t>
            </w:r>
            <w:r w:rsidRPr="55015454" w:rsidR="5A9F8780">
              <w:rPr>
                <w:rFonts w:ascii="Times New Roman" w:hAnsi="Times New Roman" w:eastAsia="Times New Roman" w:cs="Times New Roman"/>
                <w:b w:val="0"/>
                <w:bCs w:val="0"/>
                <w:i w:val="0"/>
                <w:iCs w:val="0"/>
                <w:strike w:val="0"/>
                <w:dstrike w:val="0"/>
                <w:color w:val="000000" w:themeColor="text1" w:themeTint="FF" w:themeShade="FF"/>
                <w:sz w:val="24"/>
                <w:szCs w:val="24"/>
                <w:u w:val="none"/>
              </w:rPr>
              <w:t>initiate</w:t>
            </w:r>
            <w:r w:rsidRPr="55015454" w:rsidR="5A9F878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the claims process </w:t>
            </w:r>
            <w:r w:rsidRPr="55015454" w:rsidR="5A9F8780">
              <w:rPr>
                <w:rFonts w:ascii="Times New Roman" w:hAnsi="Times New Roman" w:eastAsia="Times New Roman" w:cs="Times New Roman"/>
                <w:b w:val="0"/>
                <w:bCs w:val="0"/>
                <w:i w:val="0"/>
                <w:iCs w:val="0"/>
                <w:strike w:val="0"/>
                <w:dstrike w:val="0"/>
                <w:color w:val="000000" w:themeColor="text1" w:themeTint="FF" w:themeShade="FF"/>
                <w:sz w:val="24"/>
                <w:szCs w:val="24"/>
                <w:u w:val="none"/>
              </w:rPr>
              <w:t>30 days</w:t>
            </w:r>
            <w:r w:rsidRPr="55015454" w:rsidR="5A9F878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prior to the first </w:t>
            </w:r>
            <w:r w:rsidRPr="55015454" w:rsidR="5A9F8780">
              <w:rPr>
                <w:rFonts w:ascii="Times New Roman" w:hAnsi="Times New Roman" w:eastAsia="Times New Roman" w:cs="Times New Roman"/>
                <w:b w:val="0"/>
                <w:bCs w:val="0"/>
                <w:i w:val="0"/>
                <w:iCs w:val="0"/>
                <w:strike w:val="0"/>
                <w:dstrike w:val="0"/>
                <w:color w:val="000000" w:themeColor="text1" w:themeTint="FF" w:themeShade="FF"/>
                <w:sz w:val="24"/>
                <w:szCs w:val="24"/>
                <w:u w:val="none"/>
              </w:rPr>
              <w:t>anticipated</w:t>
            </w:r>
            <w:r w:rsidRPr="55015454" w:rsidR="5A9F8780">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compensable day. </w:t>
            </w:r>
          </w:p>
        </w:tc>
      </w:tr>
      <w:tr w:rsidR="57F337FD" w:rsidTr="55015454" w14:paraId="06AF67B0">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383A3889" w14:textId="421FE915">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7F337FD">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2BB9FA3B">
              <w:rPr>
                <w:rFonts w:ascii="Times New Roman" w:hAnsi="Times New Roman" w:eastAsia="Times New Roman" w:cs="Times New Roman"/>
                <w:b w:val="0"/>
                <w:bCs w:val="0"/>
                <w:i w:val="0"/>
                <w:iCs w:val="0"/>
                <w:strike w:val="0"/>
                <w:dstrike w:val="0"/>
                <w:color w:val="000000" w:themeColor="text1" w:themeTint="FF" w:themeShade="FF"/>
                <w:sz w:val="24"/>
                <w:szCs w:val="24"/>
                <w:u w:val="none"/>
              </w:rPr>
              <w:t>AB 2499</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1A866EC9" w14:textId="6E832FD9">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2BB9FA3B">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967</w:t>
            </w:r>
          </w:p>
        </w:tc>
        <w:tc>
          <w:tcPr>
            <w:tcW w:w="666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34AFCDF6" w14:textId="3F73DE83">
            <w:pPr>
              <w:pStyle w:val="Normal"/>
              <w:spacing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C6953F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This law </w:t>
            </w:r>
            <w:r w:rsidRPr="55015454" w:rsidR="5D439B10">
              <w:rPr>
                <w:rFonts w:ascii="Times New Roman" w:hAnsi="Times New Roman" w:eastAsia="Times New Roman" w:cs="Times New Roman"/>
                <w:b w:val="0"/>
                <w:bCs w:val="0"/>
                <w:i w:val="0"/>
                <w:iCs w:val="0"/>
                <w:strike w:val="0"/>
                <w:dstrike w:val="0"/>
                <w:color w:val="000000" w:themeColor="text1" w:themeTint="FF" w:themeShade="FF"/>
                <w:sz w:val="24"/>
                <w:szCs w:val="24"/>
                <w:u w:val="none"/>
              </w:rPr>
              <w:t>protects employees who are victims (</w:t>
            </w:r>
            <w:r w:rsidRPr="55015454" w:rsidR="2C843CD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including when a family member is a </w:t>
            </w:r>
            <w:r w:rsidRPr="55015454" w:rsidR="5A66871D">
              <w:rPr>
                <w:rFonts w:ascii="Times New Roman" w:hAnsi="Times New Roman" w:eastAsia="Times New Roman" w:cs="Times New Roman"/>
                <w:b w:val="0"/>
                <w:bCs w:val="0"/>
                <w:i w:val="0"/>
                <w:iCs w:val="0"/>
                <w:strike w:val="0"/>
                <w:dstrike w:val="0"/>
                <w:color w:val="000000" w:themeColor="text1" w:themeTint="FF" w:themeShade="FF"/>
                <w:sz w:val="24"/>
                <w:szCs w:val="24"/>
                <w:u w:val="none"/>
              </w:rPr>
              <w:t>victim</w:t>
            </w:r>
            <w:r w:rsidRPr="55015454" w:rsidR="5D439B10">
              <w:rPr>
                <w:rFonts w:ascii="Times New Roman" w:hAnsi="Times New Roman" w:eastAsia="Times New Roman" w:cs="Times New Roman"/>
                <w:b w:val="0"/>
                <w:bCs w:val="0"/>
                <w:i w:val="0"/>
                <w:iCs w:val="0"/>
                <w:strike w:val="0"/>
                <w:dstrike w:val="0"/>
                <w:color w:val="000000" w:themeColor="text1" w:themeTint="FF" w:themeShade="FF"/>
                <w:sz w:val="24"/>
                <w:szCs w:val="24"/>
                <w:u w:val="none"/>
              </w:rPr>
              <w:t>) of violence through providing accommodations for me</w:t>
            </w:r>
            <w:r w:rsidRPr="55015454" w:rsidR="77B7EA5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dical attention, access to services relating to crime or abuse, and safety planning </w:t>
            </w:r>
            <w:bookmarkStart w:name="_Int_93JIYxnx" w:id="28969325"/>
            <w:r w:rsidRPr="55015454" w:rsidR="77B7EA5B">
              <w:rPr>
                <w:rFonts w:ascii="Times New Roman" w:hAnsi="Times New Roman" w:eastAsia="Times New Roman" w:cs="Times New Roman"/>
                <w:b w:val="0"/>
                <w:bCs w:val="0"/>
                <w:i w:val="0"/>
                <w:iCs w:val="0"/>
                <w:strike w:val="0"/>
                <w:dstrike w:val="0"/>
                <w:color w:val="000000" w:themeColor="text1" w:themeTint="FF" w:themeShade="FF"/>
                <w:sz w:val="24"/>
                <w:szCs w:val="24"/>
                <w:u w:val="none"/>
              </w:rPr>
              <w:t>thro</w:t>
            </w:r>
            <w:r w:rsidRPr="55015454" w:rsidR="483C6291">
              <w:rPr>
                <w:rFonts w:ascii="Times New Roman" w:hAnsi="Times New Roman" w:eastAsia="Times New Roman" w:cs="Times New Roman"/>
                <w:b w:val="0"/>
                <w:bCs w:val="0"/>
                <w:i w:val="0"/>
                <w:iCs w:val="0"/>
                <w:strike w:val="0"/>
                <w:dstrike w:val="0"/>
                <w:color w:val="000000" w:themeColor="text1" w:themeTint="FF" w:themeShade="FF"/>
                <w:sz w:val="24"/>
                <w:szCs w:val="24"/>
                <w:u w:val="none"/>
              </w:rPr>
              <w:t>u</w:t>
            </w:r>
            <w:r w:rsidRPr="55015454" w:rsidR="77B7EA5B">
              <w:rPr>
                <w:rFonts w:ascii="Times New Roman" w:hAnsi="Times New Roman" w:eastAsia="Times New Roman" w:cs="Times New Roman"/>
                <w:b w:val="0"/>
                <w:bCs w:val="0"/>
                <w:i w:val="0"/>
                <w:iCs w:val="0"/>
                <w:strike w:val="0"/>
                <w:dstrike w:val="0"/>
                <w:color w:val="000000" w:themeColor="text1" w:themeTint="FF" w:themeShade="FF"/>
                <w:sz w:val="24"/>
                <w:szCs w:val="24"/>
                <w:u w:val="none"/>
              </w:rPr>
              <w:t>gh the use of</w:t>
            </w:r>
            <w:bookmarkEnd w:id="28969325"/>
            <w:r w:rsidRPr="55015454" w:rsidR="77B7EA5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paid sick leave. </w:t>
            </w:r>
            <w:r w:rsidRPr="55015454" w:rsidR="0B68A5C1">
              <w:rPr>
                <w:rFonts w:ascii="Times New Roman" w:hAnsi="Times New Roman" w:eastAsia="Times New Roman" w:cs="Times New Roman"/>
                <w:b w:val="0"/>
                <w:bCs w:val="0"/>
                <w:i w:val="0"/>
                <w:iCs w:val="0"/>
                <w:strike w:val="0"/>
                <w:dstrike w:val="0"/>
                <w:color w:val="000000" w:themeColor="text1" w:themeTint="FF" w:themeShade="FF"/>
                <w:sz w:val="24"/>
                <w:szCs w:val="24"/>
                <w:u w:val="none"/>
              </w:rPr>
              <w:t>Additionally,</w:t>
            </w:r>
            <w:r w:rsidRPr="55015454" w:rsidR="77B7EA5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this </w:t>
            </w:r>
            <w:r w:rsidRPr="55015454" w:rsidR="1AB9C1FC">
              <w:rPr>
                <w:rFonts w:ascii="Times New Roman" w:hAnsi="Times New Roman" w:eastAsia="Times New Roman" w:cs="Times New Roman"/>
                <w:b w:val="0"/>
                <w:bCs w:val="0"/>
                <w:i w:val="0"/>
                <w:iCs w:val="0"/>
                <w:strike w:val="0"/>
                <w:dstrike w:val="0"/>
                <w:color w:val="000000" w:themeColor="text1" w:themeTint="FF" w:themeShade="FF"/>
                <w:sz w:val="24"/>
                <w:szCs w:val="24"/>
                <w:u w:val="none"/>
              </w:rPr>
              <w:t>law</w:t>
            </w:r>
            <w:r w:rsidRPr="55015454" w:rsidR="77B7EA5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prohibits employers from </w:t>
            </w:r>
            <w:r w:rsidRPr="55015454" w:rsidR="0B0C58D9">
              <w:rPr>
                <w:rFonts w:ascii="Times New Roman" w:hAnsi="Times New Roman" w:eastAsia="Times New Roman" w:cs="Times New Roman"/>
                <w:b w:val="0"/>
                <w:bCs w:val="0"/>
                <w:i w:val="0"/>
                <w:iCs w:val="0"/>
                <w:strike w:val="0"/>
                <w:dstrike w:val="0"/>
                <w:color w:val="000000" w:themeColor="text1" w:themeTint="FF" w:themeShade="FF"/>
                <w:sz w:val="24"/>
                <w:szCs w:val="24"/>
                <w:u w:val="none"/>
              </w:rPr>
              <w:t>discriminating against</w:t>
            </w:r>
            <w:r w:rsidRPr="55015454" w:rsidR="77B7EA5B">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o</w:t>
            </w:r>
            <w:r w:rsidRPr="55015454" w:rsidR="5E48EB8C">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r retaliating against an employee for using this form of paid leave. </w:t>
            </w:r>
            <w:r w:rsidRPr="55015454" w:rsidR="5C6953F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p>
        </w:tc>
      </w:tr>
      <w:tr w:rsidR="55015454" w:rsidTr="55015454" w14:paraId="621BE815">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75AE1936" w:rsidP="55015454" w:rsidRDefault="75AE1936" w14:paraId="1398F0CD" w14:textId="10E23CD9">
            <w:pPr>
              <w:pStyle w:val="Normal"/>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75AE1936">
              <w:rPr>
                <w:rFonts w:ascii="Times New Roman" w:hAnsi="Times New Roman" w:eastAsia="Times New Roman" w:cs="Times New Roman"/>
                <w:b w:val="0"/>
                <w:bCs w:val="0"/>
                <w:i w:val="0"/>
                <w:iCs w:val="0"/>
                <w:strike w:val="0"/>
                <w:dstrike w:val="0"/>
                <w:color w:val="000000" w:themeColor="text1" w:themeTint="FF" w:themeShade="FF"/>
                <w:sz w:val="24"/>
                <w:szCs w:val="24"/>
                <w:u w:val="none"/>
              </w:rPr>
              <w:t>AB 2843</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75AE1936" w:rsidP="55015454" w:rsidRDefault="75AE1936" w14:paraId="3BB05AEC" w14:textId="37D90AF8">
            <w:pPr>
              <w:pStyle w:val="Normal"/>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75AE1936">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971</w:t>
            </w:r>
          </w:p>
        </w:tc>
        <w:tc>
          <w:tcPr>
            <w:tcW w:w="666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75AE1936" w:rsidP="55015454" w:rsidRDefault="75AE1936" w14:paraId="3D600EF4" w14:textId="7BEE21B3">
            <w:pPr>
              <w:pStyle w:val="Normal"/>
              <w:spacing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75AE193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Effective July 1, 2025, this law requires health insurance plans to cover emergency care and </w:t>
            </w:r>
            <w:r w:rsidRPr="55015454" w:rsidR="75AE1936">
              <w:rPr>
                <w:rFonts w:ascii="Times New Roman" w:hAnsi="Times New Roman" w:eastAsia="Times New Roman" w:cs="Times New Roman"/>
                <w:b w:val="0"/>
                <w:bCs w:val="0"/>
                <w:i w:val="0"/>
                <w:iCs w:val="0"/>
                <w:strike w:val="0"/>
                <w:dstrike w:val="0"/>
                <w:color w:val="000000" w:themeColor="text1" w:themeTint="FF" w:themeShade="FF"/>
                <w:sz w:val="24"/>
                <w:szCs w:val="24"/>
                <w:u w:val="none"/>
              </w:rPr>
              <w:t>subsequent</w:t>
            </w:r>
            <w:r w:rsidRPr="55015454" w:rsidR="75AE193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treatment for individuals who are victims of sexual assault without cost sharing. Additionally, insurance companies cannot require a police report to be filed, charges to be brought against an assailant, or a conviction, as conditions for providing coverage.</w:t>
            </w:r>
          </w:p>
        </w:tc>
      </w:tr>
      <w:tr w:rsidR="57F337FD" w:rsidTr="55015454" w14:paraId="704C80A1">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594177D4" w14:textId="51284759">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41908C6C">
              <w:rPr>
                <w:rFonts w:ascii="Times New Roman" w:hAnsi="Times New Roman" w:eastAsia="Times New Roman" w:cs="Times New Roman"/>
                <w:b w:val="0"/>
                <w:bCs w:val="0"/>
                <w:i w:val="0"/>
                <w:iCs w:val="0"/>
                <w:strike w:val="0"/>
                <w:dstrike w:val="0"/>
                <w:color w:val="000000" w:themeColor="text1" w:themeTint="FF" w:themeShade="FF"/>
                <w:sz w:val="24"/>
                <w:szCs w:val="24"/>
                <w:u w:val="none"/>
              </w:rPr>
              <w:t>AB 3161</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403FC38A" w14:textId="75DB2E0D">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41908C6C">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757</w:t>
            </w:r>
          </w:p>
        </w:tc>
        <w:tc>
          <w:tcPr>
            <w:tcW w:w="666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0822D41C" w14:textId="60C4373E">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2065FCC5">
              <w:rPr>
                <w:rFonts w:ascii="Times New Roman" w:hAnsi="Times New Roman" w:eastAsia="Times New Roman" w:cs="Times New Roman"/>
                <w:b w:val="0"/>
                <w:bCs w:val="0"/>
                <w:i w:val="0"/>
                <w:iCs w:val="0"/>
                <w:strike w:val="0"/>
                <w:dstrike w:val="0"/>
                <w:color w:val="000000" w:themeColor="text1" w:themeTint="FF" w:themeShade="FF"/>
                <w:sz w:val="24"/>
                <w:szCs w:val="24"/>
                <w:u w:val="none"/>
              </w:rPr>
              <w:t>Effective January 1, 2026, t</w:t>
            </w:r>
            <w:r w:rsidRPr="55015454" w:rsidR="41908C6C">
              <w:rPr>
                <w:rFonts w:ascii="Times New Roman" w:hAnsi="Times New Roman" w:eastAsia="Times New Roman" w:cs="Times New Roman"/>
                <w:b w:val="0"/>
                <w:bCs w:val="0"/>
                <w:i w:val="0"/>
                <w:iCs w:val="0"/>
                <w:strike w:val="0"/>
                <w:dstrike w:val="0"/>
                <w:color w:val="000000" w:themeColor="text1" w:themeTint="FF" w:themeShade="FF"/>
                <w:sz w:val="24"/>
                <w:szCs w:val="24"/>
                <w:u w:val="none"/>
              </w:rPr>
              <w:t>his law requires the c</w:t>
            </w:r>
            <w:r w:rsidRPr="55015454" w:rsidR="7D678830">
              <w:rPr>
                <w:rFonts w:ascii="Times New Roman" w:hAnsi="Times New Roman" w:eastAsia="Times New Roman" w:cs="Times New Roman"/>
                <w:b w:val="0"/>
                <w:bCs w:val="0"/>
                <w:i w:val="0"/>
                <w:iCs w:val="0"/>
                <w:strike w:val="0"/>
                <w:dstrike w:val="0"/>
                <w:color w:val="000000" w:themeColor="text1" w:themeTint="FF" w:themeShade="FF"/>
                <w:sz w:val="24"/>
                <w:szCs w:val="24"/>
                <w:u w:val="none"/>
              </w:rPr>
              <w:t>ollection of demographic data to track trends of biased behavior in facilities, reduce civil rights barriers to address discrimination, and require specific protocols in hospitals for reporting racial bias concerns among their staff.</w:t>
            </w:r>
            <w:r w:rsidRPr="55015454" w:rsidR="792A69E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This law includes a fine of up to $5,000 on health facilities </w:t>
            </w:r>
            <w:r w:rsidRPr="55015454" w:rsidR="2D8B368A">
              <w:rPr>
                <w:rFonts w:ascii="Times New Roman" w:hAnsi="Times New Roman" w:eastAsia="Times New Roman" w:cs="Times New Roman"/>
                <w:b w:val="0"/>
                <w:bCs w:val="0"/>
                <w:i w:val="0"/>
                <w:iCs w:val="0"/>
                <w:strike w:val="0"/>
                <w:dstrike w:val="0"/>
                <w:color w:val="000000" w:themeColor="text1" w:themeTint="FF" w:themeShade="FF"/>
                <w:sz w:val="24"/>
                <w:szCs w:val="24"/>
                <w:u w:val="none"/>
              </w:rPr>
              <w:t>that</w:t>
            </w:r>
            <w:r w:rsidRPr="55015454" w:rsidR="792A69E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792A69E6">
              <w:rPr>
                <w:rFonts w:ascii="Times New Roman" w:hAnsi="Times New Roman" w:eastAsia="Times New Roman" w:cs="Times New Roman"/>
                <w:b w:val="0"/>
                <w:bCs w:val="0"/>
                <w:i w:val="0"/>
                <w:iCs w:val="0"/>
                <w:strike w:val="0"/>
                <w:dstrike w:val="0"/>
                <w:color w:val="000000" w:themeColor="text1" w:themeTint="FF" w:themeShade="FF"/>
                <w:sz w:val="24"/>
                <w:szCs w:val="24"/>
                <w:u w:val="none"/>
              </w:rPr>
              <w:t>fail to</w:t>
            </w:r>
            <w:r w:rsidRPr="55015454" w:rsidR="792A69E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adopt, update, or </w:t>
            </w:r>
            <w:r w:rsidRPr="55015454" w:rsidR="792A69E6">
              <w:rPr>
                <w:rFonts w:ascii="Times New Roman" w:hAnsi="Times New Roman" w:eastAsia="Times New Roman" w:cs="Times New Roman"/>
                <w:b w:val="0"/>
                <w:bCs w:val="0"/>
                <w:i w:val="0"/>
                <w:iCs w:val="0"/>
                <w:strike w:val="0"/>
                <w:dstrike w:val="0"/>
                <w:color w:val="000000" w:themeColor="text1" w:themeTint="FF" w:themeShade="FF"/>
                <w:sz w:val="24"/>
                <w:szCs w:val="24"/>
                <w:u w:val="none"/>
              </w:rPr>
              <w:t>submit</w:t>
            </w:r>
            <w:r w:rsidRPr="55015454" w:rsidR="792A69E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4A344B47">
              <w:rPr>
                <w:rFonts w:ascii="Times New Roman" w:hAnsi="Times New Roman" w:eastAsia="Times New Roman" w:cs="Times New Roman"/>
                <w:b w:val="0"/>
                <w:bCs w:val="0"/>
                <w:i w:val="0"/>
                <w:iCs w:val="0"/>
                <w:strike w:val="0"/>
                <w:dstrike w:val="0"/>
                <w:color w:val="000000" w:themeColor="text1" w:themeTint="FF" w:themeShade="FF"/>
                <w:sz w:val="24"/>
                <w:szCs w:val="24"/>
                <w:u w:val="none"/>
              </w:rPr>
              <w:t>patient</w:t>
            </w:r>
            <w:r w:rsidRPr="55015454" w:rsidR="792A69E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1BA7094">
              <w:rPr>
                <w:rFonts w:ascii="Times New Roman" w:hAnsi="Times New Roman" w:eastAsia="Times New Roman" w:cs="Times New Roman"/>
                <w:b w:val="0"/>
                <w:bCs w:val="0"/>
                <w:i w:val="0"/>
                <w:iCs w:val="0"/>
                <w:strike w:val="0"/>
                <w:dstrike w:val="0"/>
                <w:color w:val="000000" w:themeColor="text1" w:themeTint="FF" w:themeShade="FF"/>
                <w:sz w:val="24"/>
                <w:szCs w:val="24"/>
                <w:u w:val="none"/>
              </w:rPr>
              <w:t>safety</w:t>
            </w:r>
            <w:r w:rsidRPr="55015454" w:rsidR="792A69E6">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plans</w:t>
            </w:r>
            <w:r w:rsidRPr="55015454" w:rsidR="2FEB124A">
              <w:rPr>
                <w:rFonts w:ascii="Times New Roman" w:hAnsi="Times New Roman" w:eastAsia="Times New Roman" w:cs="Times New Roman"/>
                <w:b w:val="0"/>
                <w:bCs w:val="0"/>
                <w:i w:val="0"/>
                <w:iCs w:val="0"/>
                <w:strike w:val="0"/>
                <w:dstrike w:val="0"/>
                <w:color w:val="000000" w:themeColor="text1" w:themeTint="FF" w:themeShade="FF"/>
                <w:sz w:val="24"/>
                <w:szCs w:val="24"/>
                <w:u w:val="none"/>
              </w:rPr>
              <w:t>.</w:t>
            </w:r>
          </w:p>
        </w:tc>
      </w:tr>
      <w:tr w:rsidR="57F337FD" w:rsidTr="55015454" w14:paraId="6A78A49C">
        <w:trPr>
          <w:trHeight w:val="300"/>
        </w:trPr>
        <w:tc>
          <w:tcPr>
            <w:tcW w:w="1275"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4F706D41" w14:textId="61AB8546">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9EDD9A8">
              <w:rPr>
                <w:rFonts w:ascii="Times New Roman" w:hAnsi="Times New Roman" w:eastAsia="Times New Roman" w:cs="Times New Roman"/>
                <w:b w:val="0"/>
                <w:bCs w:val="0"/>
                <w:i w:val="0"/>
                <w:iCs w:val="0"/>
                <w:strike w:val="0"/>
                <w:dstrike w:val="0"/>
                <w:color w:val="000000" w:themeColor="text1" w:themeTint="FF" w:themeShade="FF"/>
                <w:sz w:val="24"/>
                <w:szCs w:val="24"/>
                <w:u w:val="none"/>
              </w:rPr>
              <w:t>SB 729</w:t>
            </w:r>
          </w:p>
        </w:tc>
        <w:tc>
          <w:tcPr>
            <w:tcW w:w="1530"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077FEF84" w14:textId="394B5C71">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59EDD9A8">
              <w:rPr>
                <w:rFonts w:ascii="Times New Roman" w:hAnsi="Times New Roman" w:eastAsia="Times New Roman" w:cs="Times New Roman"/>
                <w:b w:val="0"/>
                <w:bCs w:val="0"/>
                <w:i w:val="0"/>
                <w:iCs w:val="0"/>
                <w:strike w:val="0"/>
                <w:dstrike w:val="0"/>
                <w:color w:val="000000" w:themeColor="text1" w:themeTint="FF" w:themeShade="FF"/>
                <w:sz w:val="24"/>
                <w:szCs w:val="24"/>
                <w:u w:val="none"/>
              </w:rPr>
              <w:t>Chapter 930</w:t>
            </w:r>
          </w:p>
        </w:tc>
        <w:tc>
          <w:tcPr>
            <w:tcW w:w="6668" w:type="dxa"/>
            <w:tcBorders>
              <w:top w:val="single" w:color="000000" w:themeColor="text1" w:sz="8"/>
              <w:left w:val="single" w:color="000000" w:themeColor="text1" w:sz="8"/>
              <w:bottom w:val="single" w:color="000000" w:themeColor="text1" w:sz="8"/>
              <w:right w:val="single" w:color="000000" w:themeColor="text1" w:sz="8"/>
            </w:tcBorders>
            <w:tcMar>
              <w:top w:w="100" w:type="dxa"/>
              <w:left w:w="100" w:type="dxa"/>
              <w:bottom w:w="100" w:type="dxa"/>
              <w:right w:w="100" w:type="dxa"/>
            </w:tcMar>
            <w:vAlign w:val="top"/>
          </w:tcPr>
          <w:p w:rsidR="57F337FD" w:rsidP="55015454" w:rsidRDefault="57F337FD" w14:paraId="391F1D53" w14:textId="08A73D45">
            <w:pPr>
              <w:spacing w:before="0" w:beforeAutospacing="off" w:after="0" w:afterAutospacing="on"/>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55015454" w:rsidR="325DF6E2">
              <w:rPr>
                <w:rFonts w:ascii="Times New Roman" w:hAnsi="Times New Roman" w:eastAsia="Times New Roman" w:cs="Times New Roman"/>
                <w:b w:val="0"/>
                <w:bCs w:val="0"/>
                <w:i w:val="0"/>
                <w:iCs w:val="0"/>
                <w:strike w:val="0"/>
                <w:dstrike w:val="0"/>
                <w:color w:val="000000" w:themeColor="text1" w:themeTint="FF" w:themeShade="FF"/>
                <w:sz w:val="24"/>
                <w:szCs w:val="24"/>
                <w:u w:val="none"/>
              </w:rPr>
              <w:t>Effective July 1, 2025, t</w:t>
            </w:r>
            <w:r w:rsidRPr="55015454" w:rsidR="4369B47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his law requires large and small group health care service plan contracts and disability insurance policies to provide coverage for infertility and fertility </w:t>
            </w:r>
            <w:r w:rsidRPr="55015454" w:rsidR="332E7E53">
              <w:rPr>
                <w:rFonts w:ascii="Times New Roman" w:hAnsi="Times New Roman" w:eastAsia="Times New Roman" w:cs="Times New Roman"/>
                <w:b w:val="0"/>
                <w:bCs w:val="0"/>
                <w:i w:val="0"/>
                <w:iCs w:val="0"/>
                <w:strike w:val="0"/>
                <w:dstrike w:val="0"/>
                <w:color w:val="000000" w:themeColor="text1" w:themeTint="FF" w:themeShade="FF"/>
                <w:sz w:val="24"/>
                <w:szCs w:val="24"/>
                <w:u w:val="none"/>
              </w:rPr>
              <w:t>services and revises the definition of infertility</w:t>
            </w:r>
            <w:r w:rsidRPr="55015454" w:rsidR="4369B47F">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04BBB45B">
              <w:rPr>
                <w:rFonts w:ascii="Times New Roman" w:hAnsi="Times New Roman" w:eastAsia="Times New Roman" w:cs="Times New Roman"/>
                <w:b w:val="0"/>
                <w:bCs w:val="0"/>
                <w:i w:val="0"/>
                <w:iCs w:val="0"/>
                <w:strike w:val="0"/>
                <w:dstrike w:val="0"/>
                <w:color w:val="000000" w:themeColor="text1" w:themeTint="FF" w:themeShade="FF"/>
                <w:sz w:val="24"/>
                <w:szCs w:val="24"/>
                <w:u w:val="none"/>
              </w:rPr>
              <w:t>Specifically, f</w:t>
            </w:r>
            <w:r w:rsidRPr="55015454" w:rsidR="4369B47F">
              <w:rPr>
                <w:rFonts w:ascii="Times New Roman" w:hAnsi="Times New Roman" w:eastAsia="Times New Roman" w:cs="Times New Roman"/>
                <w:b w:val="0"/>
                <w:bCs w:val="0"/>
                <w:i w:val="0"/>
                <w:iCs w:val="0"/>
                <w:strike w:val="0"/>
                <w:dstrike w:val="0"/>
                <w:color w:val="000000" w:themeColor="text1" w:themeTint="FF" w:themeShade="FF"/>
                <w:sz w:val="24"/>
                <w:szCs w:val="24"/>
                <w:u w:val="none"/>
              </w:rPr>
              <w:t>or large group health</w:t>
            </w:r>
            <w:r w:rsidRPr="55015454" w:rsidR="6C8EA1DE">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care plans, they </w:t>
            </w:r>
            <w:r w:rsidRPr="55015454" w:rsidR="6C8EA1DE">
              <w:rPr>
                <w:rFonts w:ascii="Times New Roman" w:hAnsi="Times New Roman" w:eastAsia="Times New Roman" w:cs="Times New Roman"/>
                <w:b w:val="0"/>
                <w:bCs w:val="0"/>
                <w:i w:val="0"/>
                <w:iCs w:val="0"/>
                <w:strike w:val="0"/>
                <w:dstrike w:val="0"/>
                <w:color w:val="000000" w:themeColor="text1" w:themeTint="FF" w:themeShade="FF"/>
                <w:sz w:val="24"/>
                <w:szCs w:val="24"/>
                <w:u w:val="none"/>
              </w:rPr>
              <w:t>a</w:t>
            </w:r>
            <w:r w:rsidRPr="55015454" w:rsidR="6C8EA1DE">
              <w:rPr>
                <w:rFonts w:ascii="Times New Roman" w:hAnsi="Times New Roman" w:eastAsia="Times New Roman" w:cs="Times New Roman"/>
                <w:b w:val="0"/>
                <w:bCs w:val="0"/>
                <w:i w:val="0"/>
                <w:iCs w:val="0"/>
                <w:strike w:val="0"/>
                <w:dstrike w:val="0"/>
                <w:color w:val="000000" w:themeColor="text1" w:themeTint="FF" w:themeShade="FF"/>
                <w:sz w:val="24"/>
                <w:szCs w:val="24"/>
                <w:u w:val="none"/>
              </w:rPr>
              <w:t>re required to</w:t>
            </w:r>
            <w:r w:rsidRPr="55015454" w:rsidR="6C8EA1DE">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 </w:t>
            </w:r>
            <w:r w:rsidRPr="55015454" w:rsidR="6C8EA1DE">
              <w:rPr>
                <w:rFonts w:ascii="Times New Roman" w:hAnsi="Times New Roman" w:eastAsia="Times New Roman" w:cs="Times New Roman"/>
                <w:b w:val="0"/>
                <w:bCs w:val="0"/>
                <w:i w:val="0"/>
                <w:iCs w:val="0"/>
                <w:strike w:val="0"/>
                <w:dstrike w:val="0"/>
                <w:color w:val="000000" w:themeColor="text1" w:themeTint="FF" w:themeShade="FF"/>
                <w:sz w:val="24"/>
                <w:szCs w:val="24"/>
                <w:u w:val="none"/>
              </w:rPr>
              <w:t xml:space="preserve">cover up to 3 complete oocyte retrievals. </w:t>
            </w:r>
          </w:p>
        </w:tc>
      </w:tr>
    </w:tbl>
    <w:p xmlns:wp14="http://schemas.microsoft.com/office/word/2010/wordml" w:rsidP="55015454" wp14:paraId="484FE6B9" wp14:textId="2B918EC3">
      <w:pPr>
        <w:spacing w:after="0" w:afterAutospacing="on"/>
        <w:rPr>
          <w:rFonts w:ascii="Times New Roman" w:hAnsi="Times New Roman" w:eastAsia="Times New Roman" w:cs="Times New Roman"/>
          <w:sz w:val="24"/>
          <w:szCs w:val="24"/>
        </w:rPr>
      </w:pPr>
    </w:p>
    <w:p xmlns:wp14="http://schemas.microsoft.com/office/word/2010/wordml" w:rsidP="55015454" wp14:paraId="58243D5E" wp14:textId="16CD30EF">
      <w:pPr>
        <w:spacing w:after="0" w:afterAutospacing="on"/>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CjNhmlrsLtGqBi" int2:id="Lp5heHqm">
      <int2:state int2:type="AugLoop_Text_Critique" int2:value="Rejected"/>
    </int2:textHash>
    <int2:bookmark int2:bookmarkName="_Int_93JIYxnx" int2:invalidationBookmarkName="" int2:hashCode="O30PzcGzgilo0B" int2:id="LmxUXDna">
      <int2:state int2:type="AugLoop_Text_Critique" int2:value="Rejected"/>
    </int2:bookmark>
    <int2:bookmark int2:bookmarkName="_Int_sRzlDLrO" int2:invalidationBookmarkName="" int2:hashCode="f2YEnUQtx0duft" int2:id="cSmruTYB">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235223"/>
    <w:rsid w:val="002EF845"/>
    <w:rsid w:val="00AE8CC1"/>
    <w:rsid w:val="00B6F98C"/>
    <w:rsid w:val="00D414BA"/>
    <w:rsid w:val="015F7B97"/>
    <w:rsid w:val="01A09DB1"/>
    <w:rsid w:val="01A09DB1"/>
    <w:rsid w:val="01BA7094"/>
    <w:rsid w:val="02388791"/>
    <w:rsid w:val="0243CA0A"/>
    <w:rsid w:val="0243CA0A"/>
    <w:rsid w:val="02BBD069"/>
    <w:rsid w:val="02E5284F"/>
    <w:rsid w:val="035FB630"/>
    <w:rsid w:val="03854C59"/>
    <w:rsid w:val="03966FA0"/>
    <w:rsid w:val="03BD9A7F"/>
    <w:rsid w:val="03F4F30A"/>
    <w:rsid w:val="040F7CB5"/>
    <w:rsid w:val="0418813E"/>
    <w:rsid w:val="0443985E"/>
    <w:rsid w:val="0443985E"/>
    <w:rsid w:val="04A18087"/>
    <w:rsid w:val="04BBB45B"/>
    <w:rsid w:val="051811BC"/>
    <w:rsid w:val="05234AC3"/>
    <w:rsid w:val="053E1B92"/>
    <w:rsid w:val="054C8D06"/>
    <w:rsid w:val="054C8D06"/>
    <w:rsid w:val="056A2067"/>
    <w:rsid w:val="05988616"/>
    <w:rsid w:val="05E91519"/>
    <w:rsid w:val="06390C60"/>
    <w:rsid w:val="06825EF6"/>
    <w:rsid w:val="06884A5E"/>
    <w:rsid w:val="06F49CE3"/>
    <w:rsid w:val="0736D100"/>
    <w:rsid w:val="076B0FE0"/>
    <w:rsid w:val="078494C4"/>
    <w:rsid w:val="079E7948"/>
    <w:rsid w:val="079E7948"/>
    <w:rsid w:val="07CCDF8A"/>
    <w:rsid w:val="07DB8F15"/>
    <w:rsid w:val="07FC1662"/>
    <w:rsid w:val="08073D34"/>
    <w:rsid w:val="08252822"/>
    <w:rsid w:val="08B3B1C1"/>
    <w:rsid w:val="08C3F2F8"/>
    <w:rsid w:val="08C70FF4"/>
    <w:rsid w:val="08F94F71"/>
    <w:rsid w:val="0907897F"/>
    <w:rsid w:val="093A2FFE"/>
    <w:rsid w:val="093BC527"/>
    <w:rsid w:val="096389DA"/>
    <w:rsid w:val="09C61582"/>
    <w:rsid w:val="0A664562"/>
    <w:rsid w:val="0AB23242"/>
    <w:rsid w:val="0AB2C284"/>
    <w:rsid w:val="0AB2C284"/>
    <w:rsid w:val="0B0C58D9"/>
    <w:rsid w:val="0B36BF8C"/>
    <w:rsid w:val="0B36BF8C"/>
    <w:rsid w:val="0B68A5C1"/>
    <w:rsid w:val="0B91C4AB"/>
    <w:rsid w:val="0BB079F7"/>
    <w:rsid w:val="0BE57DA6"/>
    <w:rsid w:val="0C68F1BD"/>
    <w:rsid w:val="0CF16F2D"/>
    <w:rsid w:val="0D4815F3"/>
    <w:rsid w:val="0D4815F3"/>
    <w:rsid w:val="0D96F2E0"/>
    <w:rsid w:val="0DA7D74B"/>
    <w:rsid w:val="0DA96DBB"/>
    <w:rsid w:val="0DC2C1BA"/>
    <w:rsid w:val="0DCDCCF0"/>
    <w:rsid w:val="0DE2FA30"/>
    <w:rsid w:val="0E60CEA4"/>
    <w:rsid w:val="0E6E5D6A"/>
    <w:rsid w:val="0ECC9CE5"/>
    <w:rsid w:val="0F085968"/>
    <w:rsid w:val="0F085968"/>
    <w:rsid w:val="0F273F93"/>
    <w:rsid w:val="0F39E189"/>
    <w:rsid w:val="0F657F99"/>
    <w:rsid w:val="0F71A676"/>
    <w:rsid w:val="104FEC55"/>
    <w:rsid w:val="10847E9A"/>
    <w:rsid w:val="10B08677"/>
    <w:rsid w:val="1105D0DF"/>
    <w:rsid w:val="1105D0DF"/>
    <w:rsid w:val="11252C2C"/>
    <w:rsid w:val="113EDECC"/>
    <w:rsid w:val="1196A4DB"/>
    <w:rsid w:val="12596BBD"/>
    <w:rsid w:val="12B27629"/>
    <w:rsid w:val="1339DDCD"/>
    <w:rsid w:val="133BE42E"/>
    <w:rsid w:val="134D02E8"/>
    <w:rsid w:val="1394B852"/>
    <w:rsid w:val="13D0BBC9"/>
    <w:rsid w:val="142D549A"/>
    <w:rsid w:val="146E5AC2"/>
    <w:rsid w:val="14881BCF"/>
    <w:rsid w:val="149CFF0B"/>
    <w:rsid w:val="14C6FA09"/>
    <w:rsid w:val="14F4F20A"/>
    <w:rsid w:val="150BA2D8"/>
    <w:rsid w:val="15392528"/>
    <w:rsid w:val="157750EF"/>
    <w:rsid w:val="157750EF"/>
    <w:rsid w:val="1675F4B2"/>
    <w:rsid w:val="172EC059"/>
    <w:rsid w:val="1736744A"/>
    <w:rsid w:val="17A25BB8"/>
    <w:rsid w:val="17A5EFAB"/>
    <w:rsid w:val="17B60F0A"/>
    <w:rsid w:val="17C36D14"/>
    <w:rsid w:val="17ED76B0"/>
    <w:rsid w:val="17F5A93B"/>
    <w:rsid w:val="180DD3C0"/>
    <w:rsid w:val="18EC60D2"/>
    <w:rsid w:val="18EE9A67"/>
    <w:rsid w:val="18EE9A67"/>
    <w:rsid w:val="1936DA36"/>
    <w:rsid w:val="1936DA36"/>
    <w:rsid w:val="193CF62B"/>
    <w:rsid w:val="193CF62B"/>
    <w:rsid w:val="196A4BBF"/>
    <w:rsid w:val="1A343628"/>
    <w:rsid w:val="1A6C3B70"/>
    <w:rsid w:val="1A7C401E"/>
    <w:rsid w:val="1AB004D3"/>
    <w:rsid w:val="1AB9C1FC"/>
    <w:rsid w:val="1B1D3F04"/>
    <w:rsid w:val="1B1D3F04"/>
    <w:rsid w:val="1B1FFA8D"/>
    <w:rsid w:val="1B77B1A5"/>
    <w:rsid w:val="1B8DB02A"/>
    <w:rsid w:val="1BB35B8B"/>
    <w:rsid w:val="1BBBF144"/>
    <w:rsid w:val="1BBBF144"/>
    <w:rsid w:val="1BD47034"/>
    <w:rsid w:val="1C02D4B8"/>
    <w:rsid w:val="1C02D4B8"/>
    <w:rsid w:val="1C112ACF"/>
    <w:rsid w:val="1C26531F"/>
    <w:rsid w:val="1C6F0DD1"/>
    <w:rsid w:val="1CADA2DD"/>
    <w:rsid w:val="1CC45B32"/>
    <w:rsid w:val="1CD22DB3"/>
    <w:rsid w:val="1CEB6130"/>
    <w:rsid w:val="1D072DF2"/>
    <w:rsid w:val="1E2DADD9"/>
    <w:rsid w:val="1E802DB6"/>
    <w:rsid w:val="1E92708D"/>
    <w:rsid w:val="1ED8C3D1"/>
    <w:rsid w:val="1F462E8E"/>
    <w:rsid w:val="20651393"/>
    <w:rsid w:val="2065FCC5"/>
    <w:rsid w:val="20679AC0"/>
    <w:rsid w:val="2085D0D5"/>
    <w:rsid w:val="20E81BA2"/>
    <w:rsid w:val="212738B5"/>
    <w:rsid w:val="2141C486"/>
    <w:rsid w:val="21522E0F"/>
    <w:rsid w:val="215D98AB"/>
    <w:rsid w:val="215D98AB"/>
    <w:rsid w:val="216EDECD"/>
    <w:rsid w:val="2196FF9B"/>
    <w:rsid w:val="21F6927C"/>
    <w:rsid w:val="22205FEB"/>
    <w:rsid w:val="231ACD8C"/>
    <w:rsid w:val="231C613F"/>
    <w:rsid w:val="233728EF"/>
    <w:rsid w:val="2338A3D2"/>
    <w:rsid w:val="234F3A3A"/>
    <w:rsid w:val="239F9BFD"/>
    <w:rsid w:val="23B95326"/>
    <w:rsid w:val="23EAC6B0"/>
    <w:rsid w:val="23F212F2"/>
    <w:rsid w:val="23FBB890"/>
    <w:rsid w:val="241C5DAF"/>
    <w:rsid w:val="241C5DAF"/>
    <w:rsid w:val="24495F46"/>
    <w:rsid w:val="249532C7"/>
    <w:rsid w:val="249532C7"/>
    <w:rsid w:val="2527876E"/>
    <w:rsid w:val="25310C54"/>
    <w:rsid w:val="262D2EFC"/>
    <w:rsid w:val="2639FF0A"/>
    <w:rsid w:val="265EA827"/>
    <w:rsid w:val="267F2CA6"/>
    <w:rsid w:val="27700856"/>
    <w:rsid w:val="2782D16F"/>
    <w:rsid w:val="27CD1605"/>
    <w:rsid w:val="281AD8B0"/>
    <w:rsid w:val="282AB947"/>
    <w:rsid w:val="2841A0DF"/>
    <w:rsid w:val="28935B56"/>
    <w:rsid w:val="28B47F80"/>
    <w:rsid w:val="28B47F80"/>
    <w:rsid w:val="29891266"/>
    <w:rsid w:val="29891266"/>
    <w:rsid w:val="29B93B52"/>
    <w:rsid w:val="29B93B52"/>
    <w:rsid w:val="29FB2659"/>
    <w:rsid w:val="2A38650B"/>
    <w:rsid w:val="2ACFE050"/>
    <w:rsid w:val="2B15111E"/>
    <w:rsid w:val="2B30C6B9"/>
    <w:rsid w:val="2B68D57D"/>
    <w:rsid w:val="2B90B808"/>
    <w:rsid w:val="2B90B808"/>
    <w:rsid w:val="2BB9FA3B"/>
    <w:rsid w:val="2BD8C1BA"/>
    <w:rsid w:val="2C2E37CB"/>
    <w:rsid w:val="2C35AB7E"/>
    <w:rsid w:val="2C3D90F0"/>
    <w:rsid w:val="2C8022A5"/>
    <w:rsid w:val="2C843CDF"/>
    <w:rsid w:val="2CD82C77"/>
    <w:rsid w:val="2D05A628"/>
    <w:rsid w:val="2D0F339F"/>
    <w:rsid w:val="2D2A7481"/>
    <w:rsid w:val="2D2A7481"/>
    <w:rsid w:val="2D3CA7B4"/>
    <w:rsid w:val="2D5800EC"/>
    <w:rsid w:val="2D8B368A"/>
    <w:rsid w:val="2D8BF3A8"/>
    <w:rsid w:val="2DB7AA10"/>
    <w:rsid w:val="2DBBD156"/>
    <w:rsid w:val="2E7A2409"/>
    <w:rsid w:val="2EFAAC19"/>
    <w:rsid w:val="2F0BFEB9"/>
    <w:rsid w:val="2F3325D9"/>
    <w:rsid w:val="2F394FC8"/>
    <w:rsid w:val="2FCC2132"/>
    <w:rsid w:val="2FEB124A"/>
    <w:rsid w:val="301F6A1B"/>
    <w:rsid w:val="30CC1D83"/>
    <w:rsid w:val="314C782E"/>
    <w:rsid w:val="314D882D"/>
    <w:rsid w:val="31726E8A"/>
    <w:rsid w:val="3179E6BB"/>
    <w:rsid w:val="31FE80BE"/>
    <w:rsid w:val="32177F0B"/>
    <w:rsid w:val="3221F54C"/>
    <w:rsid w:val="323534F1"/>
    <w:rsid w:val="325DF6E2"/>
    <w:rsid w:val="327B3D41"/>
    <w:rsid w:val="327B3D41"/>
    <w:rsid w:val="332E7E53"/>
    <w:rsid w:val="334AE73A"/>
    <w:rsid w:val="342535CF"/>
    <w:rsid w:val="34ABF249"/>
    <w:rsid w:val="34ED90F0"/>
    <w:rsid w:val="354FE3AF"/>
    <w:rsid w:val="35D8F4CA"/>
    <w:rsid w:val="35E28CAC"/>
    <w:rsid w:val="35ED6373"/>
    <w:rsid w:val="35F5C778"/>
    <w:rsid w:val="35F70F22"/>
    <w:rsid w:val="364C668D"/>
    <w:rsid w:val="36E3AEE6"/>
    <w:rsid w:val="370ADEA8"/>
    <w:rsid w:val="37A12C50"/>
    <w:rsid w:val="385C9C5C"/>
    <w:rsid w:val="388BF603"/>
    <w:rsid w:val="39034149"/>
    <w:rsid w:val="3973FD35"/>
    <w:rsid w:val="39E6E676"/>
    <w:rsid w:val="3A0118C7"/>
    <w:rsid w:val="3A0118C7"/>
    <w:rsid w:val="3A4F6134"/>
    <w:rsid w:val="3AAA76D0"/>
    <w:rsid w:val="3B3A3BB2"/>
    <w:rsid w:val="3B44E669"/>
    <w:rsid w:val="3B4DF4CD"/>
    <w:rsid w:val="3B55EB63"/>
    <w:rsid w:val="3B5FFFDE"/>
    <w:rsid w:val="3B5FFFDE"/>
    <w:rsid w:val="3BB2521E"/>
    <w:rsid w:val="3BE5D8BB"/>
    <w:rsid w:val="3C4F98B2"/>
    <w:rsid w:val="3C7A9B84"/>
    <w:rsid w:val="3C82D8A2"/>
    <w:rsid w:val="3C8C5D12"/>
    <w:rsid w:val="3C955C12"/>
    <w:rsid w:val="3CA8ADE7"/>
    <w:rsid w:val="3CD2FDC8"/>
    <w:rsid w:val="3CEFFD83"/>
    <w:rsid w:val="3CEFFD83"/>
    <w:rsid w:val="3CF414B6"/>
    <w:rsid w:val="3CFF5611"/>
    <w:rsid w:val="3CFF5611"/>
    <w:rsid w:val="3D4ED2E6"/>
    <w:rsid w:val="3D64A89F"/>
    <w:rsid w:val="3D969148"/>
    <w:rsid w:val="3D9DC4FF"/>
    <w:rsid w:val="3E1FC4AE"/>
    <w:rsid w:val="3E7EC5DE"/>
    <w:rsid w:val="3E90B1DC"/>
    <w:rsid w:val="3E977A41"/>
    <w:rsid w:val="3EB0CF6C"/>
    <w:rsid w:val="3ECC2B1B"/>
    <w:rsid w:val="3F83EAF9"/>
    <w:rsid w:val="3FB63D0F"/>
    <w:rsid w:val="3FFCB945"/>
    <w:rsid w:val="41842D87"/>
    <w:rsid w:val="41908C6C"/>
    <w:rsid w:val="41A22497"/>
    <w:rsid w:val="41D92F03"/>
    <w:rsid w:val="4200ECE3"/>
    <w:rsid w:val="422317A0"/>
    <w:rsid w:val="42C0E736"/>
    <w:rsid w:val="42CDFF5C"/>
    <w:rsid w:val="42D0C7A9"/>
    <w:rsid w:val="42D42DCF"/>
    <w:rsid w:val="4369B47F"/>
    <w:rsid w:val="439352D5"/>
    <w:rsid w:val="439352D5"/>
    <w:rsid w:val="44430B6D"/>
    <w:rsid w:val="448F2F7D"/>
    <w:rsid w:val="454E59B4"/>
    <w:rsid w:val="457C2312"/>
    <w:rsid w:val="45922B33"/>
    <w:rsid w:val="45922B33"/>
    <w:rsid w:val="45BDDBF6"/>
    <w:rsid w:val="46754845"/>
    <w:rsid w:val="469111C5"/>
    <w:rsid w:val="46BE6C57"/>
    <w:rsid w:val="4716BB13"/>
    <w:rsid w:val="478E532B"/>
    <w:rsid w:val="47D23BCE"/>
    <w:rsid w:val="47FFA16D"/>
    <w:rsid w:val="483C6291"/>
    <w:rsid w:val="488F7EAC"/>
    <w:rsid w:val="49E276C0"/>
    <w:rsid w:val="4A344B47"/>
    <w:rsid w:val="4A6F893A"/>
    <w:rsid w:val="4A80796E"/>
    <w:rsid w:val="4A80796E"/>
    <w:rsid w:val="4ABA37E5"/>
    <w:rsid w:val="4AC87D87"/>
    <w:rsid w:val="4AE7073A"/>
    <w:rsid w:val="4AF0472C"/>
    <w:rsid w:val="4B117E0C"/>
    <w:rsid w:val="4B128E4E"/>
    <w:rsid w:val="4B1596D2"/>
    <w:rsid w:val="4B63183A"/>
    <w:rsid w:val="4B72CF8B"/>
    <w:rsid w:val="4B761E25"/>
    <w:rsid w:val="4B894CD1"/>
    <w:rsid w:val="4B8F6EFE"/>
    <w:rsid w:val="4BCAAD98"/>
    <w:rsid w:val="4C02311D"/>
    <w:rsid w:val="4C47F391"/>
    <w:rsid w:val="4CC895C5"/>
    <w:rsid w:val="4D71161D"/>
    <w:rsid w:val="4DF8CEBF"/>
    <w:rsid w:val="4E28C58B"/>
    <w:rsid w:val="4E2C4590"/>
    <w:rsid w:val="4E50F1F1"/>
    <w:rsid w:val="4E5F970D"/>
    <w:rsid w:val="4E5F970D"/>
    <w:rsid w:val="4E601A9C"/>
    <w:rsid w:val="4E646589"/>
    <w:rsid w:val="4EBEDEB1"/>
    <w:rsid w:val="4F44D4AE"/>
    <w:rsid w:val="4F6BECA0"/>
    <w:rsid w:val="4F91C0CB"/>
    <w:rsid w:val="4FB88A8F"/>
    <w:rsid w:val="50262A0A"/>
    <w:rsid w:val="50700372"/>
    <w:rsid w:val="50C29DD5"/>
    <w:rsid w:val="50CE4D02"/>
    <w:rsid w:val="517F2B7E"/>
    <w:rsid w:val="518283C4"/>
    <w:rsid w:val="519A4A61"/>
    <w:rsid w:val="51C4AFEB"/>
    <w:rsid w:val="522AC9DE"/>
    <w:rsid w:val="5250FB58"/>
    <w:rsid w:val="533C7FCD"/>
    <w:rsid w:val="533C7FCD"/>
    <w:rsid w:val="53CFDC16"/>
    <w:rsid w:val="55015454"/>
    <w:rsid w:val="55868878"/>
    <w:rsid w:val="5596CB16"/>
    <w:rsid w:val="5596CB16"/>
    <w:rsid w:val="55BDBD52"/>
    <w:rsid w:val="56269645"/>
    <w:rsid w:val="566DBB02"/>
    <w:rsid w:val="566DBB02"/>
    <w:rsid w:val="56B73EE7"/>
    <w:rsid w:val="56BD9B53"/>
    <w:rsid w:val="56C0670F"/>
    <w:rsid w:val="56D53B42"/>
    <w:rsid w:val="57386A6C"/>
    <w:rsid w:val="5790ABE2"/>
    <w:rsid w:val="57F337FD"/>
    <w:rsid w:val="57F969F2"/>
    <w:rsid w:val="580062F2"/>
    <w:rsid w:val="580F8AB2"/>
    <w:rsid w:val="581632ED"/>
    <w:rsid w:val="581632ED"/>
    <w:rsid w:val="58291112"/>
    <w:rsid w:val="584E6B54"/>
    <w:rsid w:val="585D344A"/>
    <w:rsid w:val="58727249"/>
    <w:rsid w:val="5893FBD6"/>
    <w:rsid w:val="58A1AE66"/>
    <w:rsid w:val="58BE37A5"/>
    <w:rsid w:val="58C2AB80"/>
    <w:rsid w:val="590403F0"/>
    <w:rsid w:val="59425160"/>
    <w:rsid w:val="599F35FB"/>
    <w:rsid w:val="59D2F18E"/>
    <w:rsid w:val="59EDD9A8"/>
    <w:rsid w:val="5A66871D"/>
    <w:rsid w:val="5A693A3E"/>
    <w:rsid w:val="5A9F8780"/>
    <w:rsid w:val="5AA6AA17"/>
    <w:rsid w:val="5B050641"/>
    <w:rsid w:val="5B0E43F2"/>
    <w:rsid w:val="5B0E43F2"/>
    <w:rsid w:val="5BB84E9A"/>
    <w:rsid w:val="5BDC3FB5"/>
    <w:rsid w:val="5BF59FFE"/>
    <w:rsid w:val="5C6953F6"/>
    <w:rsid w:val="5CDFCE34"/>
    <w:rsid w:val="5D3F6A7B"/>
    <w:rsid w:val="5D439B10"/>
    <w:rsid w:val="5D77B017"/>
    <w:rsid w:val="5E48EB8C"/>
    <w:rsid w:val="5E84B4B7"/>
    <w:rsid w:val="5EA28CD5"/>
    <w:rsid w:val="5EB5556E"/>
    <w:rsid w:val="5EC4D360"/>
    <w:rsid w:val="5F7A7F51"/>
    <w:rsid w:val="5F99EC2F"/>
    <w:rsid w:val="5FD23856"/>
    <w:rsid w:val="6016ABEC"/>
    <w:rsid w:val="6032F25B"/>
    <w:rsid w:val="60346E8E"/>
    <w:rsid w:val="6040AD49"/>
    <w:rsid w:val="607DC27E"/>
    <w:rsid w:val="60C3215E"/>
    <w:rsid w:val="60D61A89"/>
    <w:rsid w:val="60D61A89"/>
    <w:rsid w:val="613A81C3"/>
    <w:rsid w:val="613A81C3"/>
    <w:rsid w:val="618A241F"/>
    <w:rsid w:val="61A1D117"/>
    <w:rsid w:val="61B03DD5"/>
    <w:rsid w:val="622A32FB"/>
    <w:rsid w:val="624FA43E"/>
    <w:rsid w:val="624FA43E"/>
    <w:rsid w:val="6299E521"/>
    <w:rsid w:val="63213C57"/>
    <w:rsid w:val="63944863"/>
    <w:rsid w:val="64DD1983"/>
    <w:rsid w:val="65B7DAE4"/>
    <w:rsid w:val="66162782"/>
    <w:rsid w:val="6637EE7A"/>
    <w:rsid w:val="664D3336"/>
    <w:rsid w:val="66DE18EF"/>
    <w:rsid w:val="6759B49A"/>
    <w:rsid w:val="6771AC9B"/>
    <w:rsid w:val="67B0CD23"/>
    <w:rsid w:val="686D6BD4"/>
    <w:rsid w:val="68A071CF"/>
    <w:rsid w:val="68D3F94E"/>
    <w:rsid w:val="696A0E01"/>
    <w:rsid w:val="696A0E01"/>
    <w:rsid w:val="696E263D"/>
    <w:rsid w:val="699F9E3D"/>
    <w:rsid w:val="69BDC00B"/>
    <w:rsid w:val="69C9CB55"/>
    <w:rsid w:val="69D50607"/>
    <w:rsid w:val="69D50607"/>
    <w:rsid w:val="69D7E772"/>
    <w:rsid w:val="6A5B366F"/>
    <w:rsid w:val="6A5B6941"/>
    <w:rsid w:val="6A7726D3"/>
    <w:rsid w:val="6A7B20A1"/>
    <w:rsid w:val="6A815CB3"/>
    <w:rsid w:val="6BA7D4CE"/>
    <w:rsid w:val="6BAE8744"/>
    <w:rsid w:val="6BC433F1"/>
    <w:rsid w:val="6BE9AD4C"/>
    <w:rsid w:val="6BE9AD4C"/>
    <w:rsid w:val="6C3EA017"/>
    <w:rsid w:val="6C566B1A"/>
    <w:rsid w:val="6C8EA1DE"/>
    <w:rsid w:val="6CA9A7B4"/>
    <w:rsid w:val="6CADEA0C"/>
    <w:rsid w:val="6CD98E2B"/>
    <w:rsid w:val="6D2D9802"/>
    <w:rsid w:val="6DA2F321"/>
    <w:rsid w:val="6DBFEE7A"/>
    <w:rsid w:val="6E235223"/>
    <w:rsid w:val="6F06635F"/>
    <w:rsid w:val="6F0ABA02"/>
    <w:rsid w:val="6F71BDC1"/>
    <w:rsid w:val="6FF8BA34"/>
    <w:rsid w:val="70337661"/>
    <w:rsid w:val="7034B05E"/>
    <w:rsid w:val="7069C242"/>
    <w:rsid w:val="707AFD94"/>
    <w:rsid w:val="707D11BF"/>
    <w:rsid w:val="708E06D7"/>
    <w:rsid w:val="70B6DA51"/>
    <w:rsid w:val="70D7F1CA"/>
    <w:rsid w:val="70FF9A57"/>
    <w:rsid w:val="715C7BC4"/>
    <w:rsid w:val="7186657F"/>
    <w:rsid w:val="71BD9ED9"/>
    <w:rsid w:val="71E72B95"/>
    <w:rsid w:val="71F57C14"/>
    <w:rsid w:val="71F57C14"/>
    <w:rsid w:val="71F8344F"/>
    <w:rsid w:val="72172809"/>
    <w:rsid w:val="72172809"/>
    <w:rsid w:val="724A2184"/>
    <w:rsid w:val="72C05823"/>
    <w:rsid w:val="72DBF7E8"/>
    <w:rsid w:val="72F6C6CC"/>
    <w:rsid w:val="737FF501"/>
    <w:rsid w:val="73ABBC68"/>
    <w:rsid w:val="73E2F5F2"/>
    <w:rsid w:val="73E932F8"/>
    <w:rsid w:val="7415205C"/>
    <w:rsid w:val="74B767E4"/>
    <w:rsid w:val="75456241"/>
    <w:rsid w:val="754FCA18"/>
    <w:rsid w:val="7569E59E"/>
    <w:rsid w:val="75A0F88F"/>
    <w:rsid w:val="75AE1936"/>
    <w:rsid w:val="75F8E3DB"/>
    <w:rsid w:val="75F8E3DB"/>
    <w:rsid w:val="761DF5EB"/>
    <w:rsid w:val="766324EF"/>
    <w:rsid w:val="76E4E5C8"/>
    <w:rsid w:val="773F9715"/>
    <w:rsid w:val="77B7EA5B"/>
    <w:rsid w:val="77C3ED9C"/>
    <w:rsid w:val="77EBDA74"/>
    <w:rsid w:val="7801187B"/>
    <w:rsid w:val="792A69E6"/>
    <w:rsid w:val="795CEBD9"/>
    <w:rsid w:val="79A92BE8"/>
    <w:rsid w:val="79C44166"/>
    <w:rsid w:val="79C44166"/>
    <w:rsid w:val="7A2EE9C0"/>
    <w:rsid w:val="7A429D39"/>
    <w:rsid w:val="7AC92B5D"/>
    <w:rsid w:val="7B0DAD0F"/>
    <w:rsid w:val="7B4EEDB2"/>
    <w:rsid w:val="7B507CAA"/>
    <w:rsid w:val="7B77DAD0"/>
    <w:rsid w:val="7BCA6813"/>
    <w:rsid w:val="7BCAF54B"/>
    <w:rsid w:val="7BCAF54B"/>
    <w:rsid w:val="7BF27F99"/>
    <w:rsid w:val="7C11B82F"/>
    <w:rsid w:val="7C43F5AE"/>
    <w:rsid w:val="7C784670"/>
    <w:rsid w:val="7CC56019"/>
    <w:rsid w:val="7D678830"/>
    <w:rsid w:val="7D89C9CD"/>
    <w:rsid w:val="7DD63E06"/>
    <w:rsid w:val="7DDE3764"/>
    <w:rsid w:val="7E29B3A3"/>
    <w:rsid w:val="7E29B3A3"/>
    <w:rsid w:val="7E934403"/>
    <w:rsid w:val="7EDCB6C7"/>
    <w:rsid w:val="7EED9DA3"/>
    <w:rsid w:val="7F418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5223"/>
  <w15:chartTrackingRefBased/>
  <w15:docId w15:val="{264A1DBD-B578-47CC-AF42-CF78A0BE96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7F337FD"/>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a7c7d75e86f473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2025-01-09T18:12:35.3285133Z</dcterms:created>
  <dcterms:modified xsi:type="dcterms:W3CDTF">2025-01-15T19:23:22.5132405Z</dcterms:modified>
  <dc:creator>Courtney Hall</dc:creator>
  <lastModifiedBy>Courtney Hall</lastModifiedBy>
</coreProperties>
</file>